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FDC" w:rsidRDefault="00E128DE">
      <w:pPr>
        <w:kinsoku w:val="0"/>
        <w:overflowPunct w:val="0"/>
        <w:autoSpaceDE w:val="0"/>
        <w:autoSpaceDN w:val="0"/>
        <w:adjustRightInd w:val="0"/>
        <w:spacing w:after="0" w:line="240" w:lineRule="auto"/>
        <w:jc w:val="both"/>
        <w:rPr>
          <w:rFonts w:ascii="方正小标宋简体" w:eastAsia="方正小标宋简体" w:hAnsi="方正小标宋简体" w:cs="方正小标宋简体"/>
          <w:b/>
          <w:bCs/>
          <w:kern w:val="0"/>
          <w:sz w:val="44"/>
          <w:szCs w:val="44"/>
          <w14:ligatures w14:val="none"/>
        </w:rPr>
      </w:pPr>
      <w:bookmarkStart w:id="0" w:name="_GoBack"/>
      <w:bookmarkEnd w:id="0"/>
      <w:r>
        <w:rPr>
          <w:rFonts w:ascii="仿宋" w:eastAsia="仿宋" w:hAnsi="仿宋" w:cs="宋体" w:hint="eastAsia"/>
          <w:color w:val="333333"/>
          <w:kern w:val="0"/>
          <w:sz w:val="32"/>
          <w:szCs w:val="32"/>
          <w14:ligatures w14:val="none"/>
        </w:rPr>
        <w:t>附件</w:t>
      </w:r>
      <w:r>
        <w:rPr>
          <w:rFonts w:ascii="仿宋" w:eastAsia="仿宋" w:hAnsi="仿宋" w:cs="宋体" w:hint="eastAsia"/>
          <w:color w:val="333333"/>
          <w:kern w:val="0"/>
          <w:sz w:val="32"/>
          <w:szCs w:val="32"/>
          <w14:ligatures w14:val="none"/>
        </w:rPr>
        <w:t>1</w:t>
      </w:r>
    </w:p>
    <w:p w:rsidR="00541FDC" w:rsidRDefault="00E128DE">
      <w:pPr>
        <w:kinsoku w:val="0"/>
        <w:overflowPunct w:val="0"/>
        <w:autoSpaceDE w:val="0"/>
        <w:autoSpaceDN w:val="0"/>
        <w:adjustRightInd w:val="0"/>
        <w:spacing w:after="0" w:line="240" w:lineRule="auto"/>
        <w:jc w:val="center"/>
        <w:rPr>
          <w:rFonts w:ascii="方正小标宋简体" w:eastAsia="方正小标宋简体" w:hAnsi="方正小标宋简体" w:cs="方正小标宋简体"/>
          <w:b/>
          <w:bCs/>
          <w:kern w:val="0"/>
          <w:sz w:val="44"/>
          <w:szCs w:val="44"/>
          <w14:ligatures w14:val="none"/>
        </w:rPr>
      </w:pPr>
      <w:r>
        <w:rPr>
          <w:rFonts w:ascii="方正小标宋简体" w:eastAsia="方正小标宋简体" w:hAnsi="方正小标宋简体" w:cs="方正小标宋简体" w:hint="eastAsia"/>
          <w:b/>
          <w:bCs/>
          <w:kern w:val="0"/>
          <w:sz w:val="44"/>
          <w:szCs w:val="44"/>
          <w14:ligatures w14:val="none"/>
        </w:rPr>
        <w:t>教育部中国特色学徒制教学指导委员会</w:t>
      </w:r>
    </w:p>
    <w:p w:rsidR="00541FDC" w:rsidRDefault="00E128DE">
      <w:pPr>
        <w:kinsoku w:val="0"/>
        <w:overflowPunct w:val="0"/>
        <w:autoSpaceDE w:val="0"/>
        <w:autoSpaceDN w:val="0"/>
        <w:adjustRightInd w:val="0"/>
        <w:spacing w:after="0" w:line="240" w:lineRule="auto"/>
        <w:jc w:val="center"/>
        <w:rPr>
          <w:rFonts w:ascii="方正小标宋简体" w:eastAsia="方正小标宋简体" w:hAnsi="方正小标宋简体" w:cs="方正小标宋简体"/>
          <w:b/>
          <w:bCs/>
          <w:kern w:val="0"/>
          <w:sz w:val="44"/>
          <w:szCs w:val="44"/>
          <w14:ligatures w14:val="none"/>
        </w:rPr>
      </w:pPr>
      <w:r>
        <w:rPr>
          <w:rFonts w:ascii="方正小标宋简体" w:eastAsia="方正小标宋简体" w:hAnsi="方正小标宋简体" w:cs="方正小标宋简体"/>
          <w:b/>
          <w:bCs/>
          <w:kern w:val="0"/>
          <w:sz w:val="44"/>
          <w:szCs w:val="44"/>
          <w14:ligatures w14:val="none"/>
        </w:rPr>
        <w:t xml:space="preserve">2025 </w:t>
      </w:r>
      <w:r>
        <w:rPr>
          <w:rFonts w:ascii="方正小标宋简体" w:eastAsia="方正小标宋简体" w:hAnsi="方正小标宋简体" w:cs="方正小标宋简体" w:hint="eastAsia"/>
          <w:b/>
          <w:bCs/>
          <w:kern w:val="0"/>
          <w:sz w:val="44"/>
          <w:szCs w:val="44"/>
          <w14:ligatures w14:val="none"/>
        </w:rPr>
        <w:t>年度课题指南</w:t>
      </w:r>
    </w:p>
    <w:p w:rsidR="00541FDC" w:rsidRDefault="00E128DE">
      <w:pPr>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为深入学习贯彻党的二十大、二十届二中、三中全中精神和习近平总书记关于职业教育的重要论述，贯彻落实全国教育大会精神，加快现代职业教育体系建设，进一步完善中国特色学徒制制度理论体系，推进中国特色学徒制高质量发展，制定本年度规划课题指南。</w:t>
      </w:r>
    </w:p>
    <w:p w:rsidR="00541FDC" w:rsidRDefault="00E128DE">
      <w:pPr>
        <w:spacing w:after="0" w:line="560" w:lineRule="exact"/>
        <w:ind w:firstLineChars="200" w:firstLine="640"/>
        <w:jc w:val="both"/>
        <w:rPr>
          <w:rFonts w:ascii="黑体" w:eastAsia="黑体" w:hAnsi="黑体" w:cs="宋体"/>
          <w:color w:val="333333"/>
          <w:kern w:val="0"/>
          <w:sz w:val="32"/>
          <w:szCs w:val="32"/>
          <w14:ligatures w14:val="none"/>
        </w:rPr>
      </w:pPr>
      <w:r>
        <w:rPr>
          <w:rFonts w:ascii="黑体" w:eastAsia="黑体" w:hAnsi="黑体" w:cs="宋体" w:hint="eastAsia"/>
          <w:color w:val="333333"/>
          <w:kern w:val="0"/>
          <w:sz w:val="32"/>
          <w:szCs w:val="32"/>
          <w14:ligatures w14:val="none"/>
        </w:rPr>
        <w:t>一、选题要求</w:t>
      </w:r>
    </w:p>
    <w:p w:rsidR="00541FDC" w:rsidRDefault="00E128DE">
      <w:pPr>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中国特色学徒制教学指导委员会理论与政策研究专门委员会</w:t>
      </w:r>
      <w:r>
        <w:rPr>
          <w:rFonts w:ascii="仿宋" w:eastAsia="仿宋" w:hAnsi="仿宋" w:cs="宋体" w:hint="eastAsia"/>
          <w:color w:val="333333"/>
          <w:kern w:val="0"/>
          <w:sz w:val="32"/>
          <w:szCs w:val="32"/>
          <w14:ligatures w14:val="none"/>
        </w:rPr>
        <w:t>2025</w:t>
      </w:r>
      <w:r>
        <w:rPr>
          <w:rFonts w:ascii="仿宋" w:eastAsia="仿宋" w:hAnsi="仿宋" w:cs="宋体" w:hint="eastAsia"/>
          <w:color w:val="333333"/>
          <w:kern w:val="0"/>
          <w:sz w:val="32"/>
          <w:szCs w:val="32"/>
          <w14:ligatures w14:val="none"/>
        </w:rPr>
        <w:t>年度课题类别包括以下三种，分别为：重大课题、重点课题和一般课题。</w:t>
      </w:r>
    </w:p>
    <w:p w:rsidR="00541FDC" w:rsidRDefault="00E128DE">
      <w:pPr>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重大课题以“揭榜挂帅”方式实施，申请者不得更改研究题目，鼓励职业院校与高校、企业等开展产学研合作，组成创新联合体开展揭榜攻关。</w:t>
      </w:r>
    </w:p>
    <w:p w:rsidR="00541FDC" w:rsidRDefault="00E128DE">
      <w:pPr>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重点课题分为“基础理论研究”“决策咨询研究”“改革实践研究”三类选题方向。研究者以课题指南为准，根据自己的专长和基础选取独特的切入点进行研究设计。研究内容应具有创新性，取得的研究成果应具有较高理论价值或实践价值。</w:t>
      </w:r>
    </w:p>
    <w:p w:rsidR="00541FDC" w:rsidRDefault="00E128DE">
      <w:pPr>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3.</w:t>
      </w:r>
      <w:r>
        <w:rPr>
          <w:rFonts w:ascii="仿宋" w:eastAsia="仿宋" w:hAnsi="仿宋" w:cs="宋体" w:hint="eastAsia"/>
          <w:color w:val="333333"/>
          <w:kern w:val="0"/>
          <w:sz w:val="32"/>
          <w:szCs w:val="32"/>
          <w14:ligatures w14:val="none"/>
        </w:rPr>
        <w:t>一般课题的申请者可根据自己的研究方向和研究基础，自行设计课题名称和研究内容。</w:t>
      </w:r>
    </w:p>
    <w:p w:rsidR="00541FDC" w:rsidRDefault="00E128DE">
      <w:pPr>
        <w:pStyle w:val="aa"/>
        <w:numPr>
          <w:ilvl w:val="0"/>
          <w:numId w:val="1"/>
        </w:numPr>
        <w:spacing w:after="0" w:line="560" w:lineRule="exact"/>
        <w:jc w:val="both"/>
        <w:rPr>
          <w:rFonts w:ascii="黑体" w:eastAsia="黑体" w:hAnsi="黑体" w:cs="宋体"/>
          <w:color w:val="333333"/>
          <w:kern w:val="0"/>
          <w:sz w:val="32"/>
          <w:szCs w:val="32"/>
          <w14:ligatures w14:val="none"/>
        </w:rPr>
      </w:pPr>
      <w:r>
        <w:rPr>
          <w:rFonts w:ascii="黑体" w:eastAsia="黑体" w:hAnsi="黑体" w:cs="宋体" w:hint="eastAsia"/>
          <w:color w:val="333333"/>
          <w:kern w:val="0"/>
          <w:sz w:val="32"/>
          <w:szCs w:val="32"/>
          <w14:ligatures w14:val="none"/>
        </w:rPr>
        <w:t>重大课题</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lastRenderedPageBreak/>
        <w:t>1.</w:t>
      </w:r>
      <w:r>
        <w:rPr>
          <w:rFonts w:ascii="仿宋" w:eastAsia="仿宋" w:hAnsi="仿宋" w:cs="宋体" w:hint="eastAsia"/>
          <w:color w:val="333333"/>
          <w:kern w:val="0"/>
          <w:sz w:val="32"/>
          <w:szCs w:val="32"/>
          <w14:ligatures w14:val="none"/>
        </w:rPr>
        <w:t>现代职业教育体系建设背景下</w:t>
      </w:r>
      <w:r>
        <w:rPr>
          <w:rFonts w:ascii="仿宋" w:eastAsia="仿宋" w:hAnsi="仿宋" w:cs="宋体"/>
          <w:color w:val="333333"/>
          <w:kern w:val="0"/>
          <w:sz w:val="32"/>
          <w:szCs w:val="32"/>
          <w14:ligatures w14:val="none"/>
        </w:rPr>
        <w:t>中国特色学徒制治理体系与资源配置研究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教育强国建设背景下中国特色学徒制人才培养模式研究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3.</w:t>
      </w:r>
      <w:r>
        <w:rPr>
          <w:rFonts w:ascii="仿宋" w:eastAsia="仿宋" w:hAnsi="仿宋" w:cs="宋体" w:hint="eastAsia"/>
          <w:color w:val="333333"/>
          <w:kern w:val="0"/>
          <w:sz w:val="32"/>
          <w:szCs w:val="32"/>
          <w14:ligatures w14:val="none"/>
        </w:rPr>
        <w:t>中国特色学徒制理论内涵、育人模式与实践路径的国际比较研究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4.</w:t>
      </w:r>
      <w:r>
        <w:rPr>
          <w:rFonts w:ascii="仿宋" w:eastAsia="仿宋" w:hAnsi="仿宋" w:cs="宋体" w:hint="eastAsia"/>
          <w:color w:val="333333"/>
          <w:kern w:val="0"/>
          <w:sz w:val="32"/>
          <w:szCs w:val="32"/>
          <w14:ligatures w14:val="none"/>
        </w:rPr>
        <w:t>市域产教联合体与行业产教融合共同体内开展现场工程师培养的机制创新研究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5.</w:t>
      </w:r>
      <w:r>
        <w:rPr>
          <w:rFonts w:ascii="仿宋" w:eastAsia="仿宋" w:hAnsi="仿宋" w:cs="宋体" w:hint="eastAsia"/>
          <w:color w:val="333333"/>
          <w:kern w:val="0"/>
          <w:sz w:val="32"/>
          <w:szCs w:val="32"/>
          <w14:ligatures w14:val="none"/>
        </w:rPr>
        <w:t>中国特色学徒制视域下教学关键要素改革研究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教育强国背景下职业教育现代学徒制内涵与创新实践路径研究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7.</w:t>
      </w:r>
      <w:r>
        <w:rPr>
          <w:rFonts w:ascii="仿宋" w:eastAsia="仿宋" w:hAnsi="仿宋" w:cs="宋体"/>
          <w:color w:val="333333"/>
          <w:kern w:val="0"/>
          <w:sz w:val="32"/>
          <w:szCs w:val="32"/>
          <w14:ligatures w14:val="none"/>
        </w:rPr>
        <w:t>新质生产力视角下中国特色学徒制创新发展研究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8.</w:t>
      </w:r>
      <w:r>
        <w:rPr>
          <w:rFonts w:ascii="仿宋" w:eastAsia="仿宋" w:hAnsi="仿宋" w:cs="宋体"/>
          <w:color w:val="333333"/>
          <w:kern w:val="0"/>
          <w:sz w:val="32"/>
          <w:szCs w:val="32"/>
          <w14:ligatures w14:val="none"/>
        </w:rPr>
        <w:t>中国特色学徒制质量框架体系构建与评价指标研究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color w:val="333333"/>
          <w:kern w:val="0"/>
          <w:sz w:val="32"/>
          <w:szCs w:val="32"/>
          <w14:ligatures w14:val="none"/>
        </w:rPr>
        <w:t>9</w:t>
      </w:r>
      <w:r>
        <w:rPr>
          <w:rFonts w:ascii="仿宋" w:eastAsia="仿宋" w:hAnsi="仿宋" w:cs="宋体" w:hint="eastAsia"/>
          <w:color w:val="333333"/>
          <w:kern w:val="0"/>
          <w:sz w:val="32"/>
          <w:szCs w:val="32"/>
          <w14:ligatures w14:val="none"/>
        </w:rPr>
        <w:t>.</w:t>
      </w:r>
      <w:r>
        <w:rPr>
          <w:rFonts w:ascii="仿宋" w:eastAsia="仿宋" w:hAnsi="仿宋" w:cs="宋体"/>
          <w:color w:val="333333"/>
          <w:kern w:val="0"/>
          <w:sz w:val="32"/>
          <w:szCs w:val="32"/>
          <w14:ligatures w14:val="none"/>
        </w:rPr>
        <w:t>中国特色学徒制在构建现代职业教育框架体系中的角色与功能研究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color w:val="333333"/>
          <w:kern w:val="0"/>
          <w:sz w:val="32"/>
          <w:szCs w:val="32"/>
          <w14:ligatures w14:val="none"/>
        </w:rPr>
        <w:t>0</w:t>
      </w:r>
      <w:r>
        <w:rPr>
          <w:rFonts w:ascii="仿宋" w:eastAsia="仿宋" w:hAnsi="仿宋" w:cs="宋体" w:hint="eastAsia"/>
          <w:color w:val="333333"/>
          <w:kern w:val="0"/>
          <w:sz w:val="32"/>
          <w:szCs w:val="32"/>
          <w14:ligatures w14:val="none"/>
        </w:rPr>
        <w:t>.</w:t>
      </w:r>
      <w:r>
        <w:rPr>
          <w:rFonts w:ascii="仿宋" w:eastAsia="仿宋" w:hAnsi="仿宋" w:cs="宋体"/>
          <w:color w:val="333333"/>
          <w:kern w:val="0"/>
          <w:sz w:val="32"/>
          <w:szCs w:val="32"/>
          <w14:ligatures w14:val="none"/>
        </w:rPr>
        <w:t>本科及以上学历的高层次学徒制人才培养模式研究</w:t>
      </w:r>
    </w:p>
    <w:p w:rsidR="00541FDC" w:rsidRDefault="00E128DE">
      <w:pPr>
        <w:spacing w:after="0" w:line="560" w:lineRule="exact"/>
        <w:ind w:firstLineChars="200" w:firstLine="640"/>
        <w:jc w:val="both"/>
        <w:rPr>
          <w:rFonts w:ascii="黑体" w:eastAsia="黑体" w:hAnsi="黑体" w:cs="宋体"/>
          <w:color w:val="333333"/>
          <w:kern w:val="0"/>
          <w:sz w:val="32"/>
          <w:szCs w:val="32"/>
          <w14:ligatures w14:val="none"/>
        </w:rPr>
      </w:pPr>
      <w:r>
        <w:rPr>
          <w:rFonts w:ascii="黑体" w:eastAsia="黑体" w:hAnsi="黑体" w:cs="宋体" w:hint="eastAsia"/>
          <w:color w:val="333333"/>
          <w:kern w:val="0"/>
          <w:sz w:val="32"/>
          <w:szCs w:val="32"/>
          <w14:ligatures w14:val="none"/>
        </w:rPr>
        <w:t>三、重点课题指南</w:t>
      </w:r>
    </w:p>
    <w:p w:rsidR="00541FDC" w:rsidRDefault="00E128DE">
      <w:pPr>
        <w:pStyle w:val="aa"/>
        <w:widowControl/>
        <w:spacing w:after="0" w:line="560" w:lineRule="exact"/>
        <w:ind w:left="0" w:firstLineChars="100" w:firstLine="320"/>
        <w:jc w:val="both"/>
        <w:rPr>
          <w:rFonts w:ascii="楷体" w:eastAsia="楷体" w:hAnsi="楷体" w:cs="方正黑体_GBK"/>
          <w:sz w:val="32"/>
          <w:szCs w:val="32"/>
          <w14:ligatures w14:val="none"/>
        </w:rPr>
      </w:pPr>
      <w:r>
        <w:rPr>
          <w:rFonts w:ascii="楷体" w:eastAsia="楷体" w:hAnsi="楷体" w:cs="方正黑体_GBK" w:hint="eastAsia"/>
          <w:sz w:val="32"/>
          <w:szCs w:val="32"/>
          <w14:ligatures w14:val="none"/>
        </w:rPr>
        <w:t>（一）基本理论研究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中国特色学徒制内涵与特征研究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现场工程师的内涵特征和培养路径研究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3.</w:t>
      </w:r>
      <w:r>
        <w:rPr>
          <w:rFonts w:ascii="仿宋" w:eastAsia="仿宋" w:hAnsi="仿宋" w:cs="宋体" w:hint="eastAsia"/>
          <w:color w:val="333333"/>
          <w:kern w:val="0"/>
          <w:sz w:val="32"/>
          <w:szCs w:val="32"/>
          <w14:ligatures w14:val="none"/>
        </w:rPr>
        <w:t>数字化转型背景下新型师徒关系构建研究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4.</w:t>
      </w:r>
      <w:r>
        <w:rPr>
          <w:rFonts w:ascii="仿宋" w:eastAsia="仿宋" w:hAnsi="仿宋" w:cs="宋体" w:hint="eastAsia"/>
          <w:color w:val="333333"/>
          <w:kern w:val="0"/>
          <w:sz w:val="32"/>
          <w:szCs w:val="32"/>
          <w14:ligatures w14:val="none"/>
        </w:rPr>
        <w:t>党建引领中国特色学徒制创新发展研究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5.</w:t>
      </w:r>
      <w:r>
        <w:rPr>
          <w:rFonts w:ascii="仿宋" w:eastAsia="仿宋" w:hAnsi="仿宋" w:cs="宋体" w:hint="eastAsia"/>
          <w:color w:val="333333"/>
          <w:kern w:val="0"/>
          <w:sz w:val="32"/>
          <w:szCs w:val="32"/>
          <w14:ligatures w14:val="none"/>
        </w:rPr>
        <w:t>中国特色学徒制背景下的思政教学体系研究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职普融通视域下现场工程师多元成长路径研究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lastRenderedPageBreak/>
        <w:t>7.</w:t>
      </w:r>
      <w:r>
        <w:rPr>
          <w:rFonts w:ascii="仿宋" w:eastAsia="仿宋" w:hAnsi="仿宋" w:cs="宋体" w:hint="eastAsia"/>
          <w:color w:val="333333"/>
          <w:kern w:val="0"/>
          <w:sz w:val="32"/>
          <w:szCs w:val="32"/>
          <w14:ligatures w14:val="none"/>
        </w:rPr>
        <w:t>中国特色学徒制国际比较研究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8.</w:t>
      </w:r>
      <w:r>
        <w:rPr>
          <w:rFonts w:ascii="仿宋" w:eastAsia="仿宋" w:hAnsi="仿宋" w:cs="宋体"/>
          <w:color w:val="333333"/>
          <w:kern w:val="0"/>
          <w:sz w:val="32"/>
          <w:szCs w:val="32"/>
          <w14:ligatures w14:val="none"/>
        </w:rPr>
        <w:t>中国特色学徒制评价标准与监管体系研究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color w:val="333333"/>
          <w:kern w:val="0"/>
          <w:sz w:val="32"/>
          <w:szCs w:val="32"/>
          <w14:ligatures w14:val="none"/>
        </w:rPr>
        <w:t>9</w:t>
      </w:r>
      <w:r>
        <w:rPr>
          <w:rFonts w:ascii="仿宋" w:eastAsia="仿宋" w:hAnsi="仿宋" w:cs="宋体" w:hint="eastAsia"/>
          <w:color w:val="333333"/>
          <w:kern w:val="0"/>
          <w:sz w:val="32"/>
          <w:szCs w:val="32"/>
          <w14:ligatures w14:val="none"/>
        </w:rPr>
        <w:t>.</w:t>
      </w:r>
      <w:r>
        <w:rPr>
          <w:rFonts w:ascii="仿宋" w:eastAsia="仿宋" w:hAnsi="仿宋" w:cs="宋体"/>
          <w:color w:val="333333"/>
          <w:kern w:val="0"/>
          <w:sz w:val="32"/>
          <w:szCs w:val="32"/>
          <w14:ligatures w14:val="none"/>
        </w:rPr>
        <w:t>中国特色学徒制政策演进与优化路径研究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color w:val="333333"/>
          <w:kern w:val="0"/>
          <w:sz w:val="32"/>
          <w:szCs w:val="32"/>
          <w14:ligatures w14:val="none"/>
        </w:rPr>
        <w:t>10</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中国特色学徒制制度设计与运行机制研究</w:t>
      </w:r>
    </w:p>
    <w:p w:rsidR="00541FDC" w:rsidRDefault="00E128DE">
      <w:pPr>
        <w:pStyle w:val="aa"/>
        <w:widowControl/>
        <w:spacing w:after="0" w:line="560" w:lineRule="exact"/>
        <w:ind w:left="0" w:firstLineChars="100" w:firstLine="320"/>
        <w:jc w:val="both"/>
        <w:rPr>
          <w:rFonts w:ascii="楷体" w:eastAsia="楷体" w:hAnsi="楷体" w:cs="方正黑体_GBK"/>
          <w:sz w:val="32"/>
          <w:szCs w:val="32"/>
          <w14:ligatures w14:val="none"/>
        </w:rPr>
      </w:pPr>
      <w:r>
        <w:rPr>
          <w:rFonts w:ascii="楷体" w:eastAsia="楷体" w:hAnsi="楷体" w:cs="方正黑体_GBK" w:hint="eastAsia"/>
          <w:sz w:val="32"/>
          <w:szCs w:val="32"/>
          <w14:ligatures w14:val="none"/>
        </w:rPr>
        <w:t>（二）决策咨询研究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中国特色学徒制实施现状调查研究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中国特色学徒制发展动力机制研究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3.</w:t>
      </w:r>
      <w:r>
        <w:rPr>
          <w:rFonts w:ascii="仿宋" w:eastAsia="仿宋" w:hAnsi="仿宋" w:cs="宋体" w:hint="eastAsia"/>
          <w:color w:val="333333"/>
          <w:kern w:val="0"/>
          <w:sz w:val="32"/>
          <w:szCs w:val="32"/>
          <w14:ligatures w14:val="none"/>
        </w:rPr>
        <w:t>中国特色学徒制的政策保障研究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4.</w:t>
      </w:r>
      <w:r>
        <w:rPr>
          <w:rFonts w:ascii="仿宋" w:eastAsia="仿宋" w:hAnsi="仿宋" w:cs="宋体" w:hint="eastAsia"/>
          <w:color w:val="333333"/>
          <w:kern w:val="0"/>
          <w:sz w:val="32"/>
          <w:szCs w:val="32"/>
          <w14:ligatures w14:val="none"/>
        </w:rPr>
        <w:t>中国特色学徒制法制建设研究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5.</w:t>
      </w:r>
      <w:r>
        <w:rPr>
          <w:rFonts w:ascii="仿宋" w:eastAsia="仿宋" w:hAnsi="仿宋" w:cs="宋体" w:hint="eastAsia"/>
          <w:color w:val="333333"/>
          <w:kern w:val="0"/>
          <w:sz w:val="32"/>
          <w:szCs w:val="32"/>
          <w14:ligatures w14:val="none"/>
        </w:rPr>
        <w:t>现场工程师专项培养计划政策保障研究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中国特色学徒制质量评价标准研究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7.</w:t>
      </w:r>
      <w:r>
        <w:rPr>
          <w:rFonts w:ascii="仿宋" w:eastAsia="仿宋" w:hAnsi="仿宋" w:cs="宋体" w:hint="eastAsia"/>
          <w:color w:val="333333"/>
          <w:kern w:val="0"/>
          <w:sz w:val="32"/>
          <w:szCs w:val="32"/>
          <w14:ligatures w14:val="none"/>
        </w:rPr>
        <w:t>现代学徒制人才培养模式的国际比较研究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8.</w:t>
      </w:r>
      <w:r>
        <w:rPr>
          <w:rFonts w:ascii="仿宋" w:eastAsia="仿宋" w:hAnsi="仿宋" w:cs="宋体" w:hint="eastAsia"/>
          <w:color w:val="333333"/>
          <w:kern w:val="0"/>
          <w:sz w:val="32"/>
          <w:szCs w:val="32"/>
          <w14:ligatures w14:val="none"/>
        </w:rPr>
        <w:t>中国特色学徒制与“新八级工”制度融合研究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9.</w:t>
      </w:r>
      <w:r>
        <w:rPr>
          <w:rFonts w:ascii="仿宋" w:eastAsia="仿宋" w:hAnsi="仿宋" w:cs="宋体" w:hint="eastAsia"/>
          <w:color w:val="333333"/>
          <w:kern w:val="0"/>
          <w:sz w:val="32"/>
          <w:szCs w:val="32"/>
          <w14:ligatures w14:val="none"/>
        </w:rPr>
        <w:t>数字化时代中国特色学徒制创新发展路径研究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10.</w:t>
      </w:r>
      <w:r>
        <w:rPr>
          <w:rFonts w:ascii="仿宋" w:eastAsia="仿宋" w:hAnsi="仿宋" w:cs="宋体" w:hint="eastAsia"/>
          <w:color w:val="333333"/>
          <w:kern w:val="0"/>
          <w:sz w:val="32"/>
          <w:szCs w:val="32"/>
          <w14:ligatures w14:val="none"/>
        </w:rPr>
        <w:t>“新双高”背景下中国特色现代学徒制实施路径研究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color w:val="333333"/>
          <w:kern w:val="0"/>
          <w:sz w:val="32"/>
          <w:szCs w:val="32"/>
          <w14:ligatures w14:val="none"/>
        </w:rPr>
        <w:t>1</w:t>
      </w:r>
      <w:r>
        <w:rPr>
          <w:rFonts w:ascii="仿宋" w:eastAsia="仿宋" w:hAnsi="仿宋" w:cs="宋体" w:hint="eastAsia"/>
          <w:color w:val="333333"/>
          <w:kern w:val="0"/>
          <w:sz w:val="32"/>
          <w:szCs w:val="32"/>
          <w14:ligatures w14:val="none"/>
        </w:rPr>
        <w:t>.</w:t>
      </w:r>
      <w:r>
        <w:rPr>
          <w:rFonts w:hint="eastAsia"/>
        </w:rPr>
        <w:t xml:space="preserve"> </w:t>
      </w:r>
      <w:r>
        <w:rPr>
          <w:rFonts w:ascii="仿宋" w:eastAsia="仿宋" w:hAnsi="仿宋" w:cs="宋体" w:hint="eastAsia"/>
          <w:color w:val="333333"/>
          <w:kern w:val="0"/>
          <w:sz w:val="32"/>
          <w:szCs w:val="32"/>
          <w14:ligatures w14:val="none"/>
        </w:rPr>
        <w:t>中国特色学徒制成本分担和利益共享机制研究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color w:val="333333"/>
          <w:kern w:val="0"/>
          <w:sz w:val="32"/>
          <w:szCs w:val="32"/>
          <w14:ligatures w14:val="none"/>
        </w:rPr>
        <w:t>2</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中国特色学徒制实践案例分析与经验推广研究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color w:val="333333"/>
          <w:kern w:val="0"/>
          <w:sz w:val="32"/>
          <w:szCs w:val="32"/>
          <w14:ligatures w14:val="none"/>
        </w:rPr>
        <w:t>3</w:t>
      </w:r>
      <w:r>
        <w:rPr>
          <w:rFonts w:ascii="仿宋" w:eastAsia="仿宋" w:hAnsi="仿宋" w:cs="宋体" w:hint="eastAsia"/>
          <w:color w:val="333333"/>
          <w:kern w:val="0"/>
          <w:sz w:val="32"/>
          <w:szCs w:val="32"/>
          <w14:ligatures w14:val="none"/>
        </w:rPr>
        <w:t>.</w:t>
      </w:r>
      <w:r>
        <w:rPr>
          <w:rFonts w:ascii="仿宋" w:eastAsia="仿宋" w:hAnsi="仿宋" w:cs="宋体"/>
          <w:color w:val="333333"/>
          <w:kern w:val="0"/>
          <w:sz w:val="32"/>
          <w:szCs w:val="32"/>
          <w14:ligatures w14:val="none"/>
        </w:rPr>
        <w:t>中国特色学徒制在高职院校中的应用效果与改进研究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color w:val="333333"/>
          <w:kern w:val="0"/>
          <w:sz w:val="32"/>
          <w:szCs w:val="32"/>
          <w14:ligatures w14:val="none"/>
        </w:rPr>
        <w:t>4</w:t>
      </w:r>
      <w:r>
        <w:rPr>
          <w:rFonts w:ascii="仿宋" w:eastAsia="仿宋" w:hAnsi="仿宋" w:cs="宋体" w:hint="eastAsia"/>
          <w:color w:val="333333"/>
          <w:kern w:val="0"/>
          <w:sz w:val="32"/>
          <w:szCs w:val="32"/>
          <w14:ligatures w14:val="none"/>
        </w:rPr>
        <w:t>.</w:t>
      </w:r>
      <w:r>
        <w:rPr>
          <w:rFonts w:ascii="仿宋" w:eastAsia="仿宋" w:hAnsi="仿宋" w:cs="宋体"/>
          <w:color w:val="333333"/>
          <w:kern w:val="0"/>
          <w:sz w:val="32"/>
          <w:szCs w:val="32"/>
          <w14:ligatures w14:val="none"/>
        </w:rPr>
        <w:t>多元治理视角下的中国特色学徒制制度建设</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color w:val="333333"/>
          <w:kern w:val="0"/>
          <w:sz w:val="32"/>
          <w:szCs w:val="32"/>
          <w14:ligatures w14:val="none"/>
        </w:rPr>
        <w:t>5</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中国特色学徒制与产业升级互动关系研究</w:t>
      </w:r>
    </w:p>
    <w:p w:rsidR="00541FDC" w:rsidRDefault="00E128DE">
      <w:pPr>
        <w:pStyle w:val="aa"/>
        <w:widowControl/>
        <w:spacing w:after="0" w:line="560" w:lineRule="exact"/>
        <w:ind w:left="0" w:firstLineChars="100" w:firstLine="320"/>
        <w:jc w:val="both"/>
        <w:rPr>
          <w:rFonts w:ascii="楷体" w:eastAsia="楷体" w:hAnsi="楷体" w:cs="方正黑体_GBK"/>
          <w:sz w:val="32"/>
          <w:szCs w:val="32"/>
          <w14:ligatures w14:val="none"/>
        </w:rPr>
      </w:pPr>
      <w:r>
        <w:rPr>
          <w:rFonts w:ascii="楷体" w:eastAsia="楷体" w:hAnsi="楷体" w:cs="方正黑体_GBK" w:hint="eastAsia"/>
          <w:sz w:val="32"/>
          <w:szCs w:val="32"/>
          <w14:ligatures w14:val="none"/>
        </w:rPr>
        <w:t>（三）改革实践研究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基于中国特色学徒制的工匠精神培养路径研究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中国特色学徒制视域下职业教育专业课程改革研究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lastRenderedPageBreak/>
        <w:t>3.</w:t>
      </w:r>
      <w:r>
        <w:rPr>
          <w:rFonts w:ascii="仿宋" w:eastAsia="仿宋" w:hAnsi="仿宋" w:cs="宋体" w:hint="eastAsia"/>
          <w:color w:val="333333"/>
          <w:kern w:val="0"/>
          <w:sz w:val="32"/>
          <w:szCs w:val="32"/>
          <w14:ligatures w14:val="none"/>
        </w:rPr>
        <w:t>基于中国特色学徒制的“金教师”团队建设研究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4.</w:t>
      </w:r>
      <w:r>
        <w:rPr>
          <w:rFonts w:ascii="仿宋" w:eastAsia="仿宋" w:hAnsi="仿宋" w:cs="宋体" w:hint="eastAsia"/>
          <w:color w:val="333333"/>
          <w:kern w:val="0"/>
          <w:sz w:val="32"/>
          <w:szCs w:val="32"/>
          <w14:ligatures w14:val="none"/>
        </w:rPr>
        <w:t>基于中国特色学徒制的“金基地”建设研究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5.</w:t>
      </w:r>
      <w:r>
        <w:rPr>
          <w:rFonts w:ascii="仿宋" w:eastAsia="仿宋" w:hAnsi="仿宋" w:cs="宋体" w:hint="eastAsia"/>
          <w:color w:val="333333"/>
          <w:kern w:val="0"/>
          <w:sz w:val="32"/>
          <w:szCs w:val="32"/>
          <w14:ligatures w14:val="none"/>
        </w:rPr>
        <w:t>基于中国特色学徒制的新形态教材建设与应用研究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中国特色学徒制课程教学体系构建研究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7.</w:t>
      </w:r>
      <w:r>
        <w:rPr>
          <w:rFonts w:ascii="仿宋" w:eastAsia="仿宋" w:hAnsi="仿宋" w:cs="宋体" w:hint="eastAsia"/>
          <w:color w:val="333333"/>
          <w:kern w:val="0"/>
          <w:sz w:val="32"/>
          <w:szCs w:val="32"/>
          <w14:ligatures w14:val="none"/>
        </w:rPr>
        <w:t>中国特色学徒制背景下本科层次人才培养模式研究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8.</w:t>
      </w:r>
      <w:r>
        <w:rPr>
          <w:rFonts w:ascii="仿宋" w:eastAsia="仿宋" w:hAnsi="仿宋" w:cs="宋体" w:hint="eastAsia"/>
          <w:color w:val="333333"/>
          <w:kern w:val="0"/>
          <w:sz w:val="32"/>
          <w:szCs w:val="32"/>
          <w14:ligatures w14:val="none"/>
        </w:rPr>
        <w:t>中国特色学徒制的校企协同实施路径研究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9.</w:t>
      </w:r>
      <w:r>
        <w:rPr>
          <w:rFonts w:ascii="仿宋" w:eastAsia="仿宋" w:hAnsi="仿宋" w:cs="宋体" w:hint="eastAsia"/>
          <w:color w:val="333333"/>
          <w:kern w:val="0"/>
          <w:sz w:val="32"/>
          <w:szCs w:val="32"/>
          <w14:ligatures w14:val="none"/>
        </w:rPr>
        <w:t>职普融通背景下学徒制特色的长学制人才培养研究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10.</w:t>
      </w:r>
      <w:r>
        <w:rPr>
          <w:rFonts w:ascii="仿宋" w:eastAsia="仿宋" w:hAnsi="仿宋" w:cs="宋体" w:hint="eastAsia"/>
          <w:color w:val="333333"/>
          <w:kern w:val="0"/>
          <w:sz w:val="32"/>
          <w:szCs w:val="32"/>
          <w14:ligatures w14:val="none"/>
        </w:rPr>
        <w:t>基于中国特色学徒制的中高本一体化课程体系研究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11.</w:t>
      </w:r>
      <w:r>
        <w:rPr>
          <w:rFonts w:ascii="仿宋" w:eastAsia="仿宋" w:hAnsi="仿宋" w:cs="宋体" w:hint="eastAsia"/>
          <w:color w:val="333333"/>
          <w:kern w:val="0"/>
          <w:sz w:val="32"/>
          <w:szCs w:val="32"/>
          <w14:ligatures w14:val="none"/>
        </w:rPr>
        <w:t>现场工程师人才培养课程体系研究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12.</w:t>
      </w:r>
      <w:r>
        <w:rPr>
          <w:rFonts w:ascii="仿宋" w:eastAsia="仿宋" w:hAnsi="仿宋" w:cs="宋体" w:hint="eastAsia"/>
          <w:color w:val="333333"/>
          <w:kern w:val="0"/>
          <w:sz w:val="32"/>
          <w:szCs w:val="32"/>
          <w14:ligatures w14:val="none"/>
        </w:rPr>
        <w:t>现场工程师人才培养模式及评价标准研究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color w:val="333333"/>
          <w:kern w:val="0"/>
          <w:sz w:val="32"/>
          <w:szCs w:val="32"/>
          <w14:ligatures w14:val="none"/>
        </w:rPr>
        <w:t>3</w:t>
      </w:r>
      <w:r>
        <w:rPr>
          <w:rFonts w:ascii="仿宋" w:eastAsia="仿宋" w:hAnsi="仿宋" w:cs="宋体" w:hint="eastAsia"/>
          <w:color w:val="333333"/>
          <w:kern w:val="0"/>
          <w:sz w:val="32"/>
          <w:szCs w:val="32"/>
          <w14:ligatures w14:val="none"/>
        </w:rPr>
        <w:t>.</w:t>
      </w:r>
      <w:r>
        <w:rPr>
          <w:rFonts w:ascii="仿宋" w:eastAsia="仿宋" w:hAnsi="仿宋" w:cs="宋体"/>
          <w:color w:val="333333"/>
          <w:kern w:val="0"/>
          <w:sz w:val="32"/>
          <w:szCs w:val="32"/>
          <w14:ligatures w14:val="none"/>
        </w:rPr>
        <w:t>中国特色学徒制建设标准体系研究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color w:val="333333"/>
          <w:kern w:val="0"/>
          <w:sz w:val="32"/>
          <w:szCs w:val="32"/>
          <w14:ligatures w14:val="none"/>
        </w:rPr>
        <w:t>4</w:t>
      </w:r>
      <w:r>
        <w:rPr>
          <w:rFonts w:ascii="仿宋" w:eastAsia="仿宋" w:hAnsi="仿宋" w:cs="宋体" w:hint="eastAsia"/>
          <w:color w:val="333333"/>
          <w:kern w:val="0"/>
          <w:sz w:val="32"/>
          <w:szCs w:val="32"/>
          <w14:ligatures w14:val="none"/>
        </w:rPr>
        <w:t>.</w:t>
      </w:r>
      <w:r>
        <w:rPr>
          <w:rFonts w:ascii="仿宋" w:eastAsia="仿宋" w:hAnsi="仿宋" w:cs="宋体"/>
          <w:color w:val="333333"/>
          <w:kern w:val="0"/>
          <w:sz w:val="32"/>
          <w:szCs w:val="32"/>
          <w14:ligatures w14:val="none"/>
        </w:rPr>
        <w:t>中国特色学徒制工作实施指南开发研究</w:t>
      </w:r>
    </w:p>
    <w:p w:rsidR="00541FDC" w:rsidRDefault="00E128DE">
      <w:pPr>
        <w:tabs>
          <w:tab w:val="left" w:pos="1083"/>
        </w:tabs>
        <w:kinsoku w:val="0"/>
        <w:overflowPunct w:val="0"/>
        <w:autoSpaceDE w:val="0"/>
        <w:autoSpaceDN w:val="0"/>
        <w:adjustRightInd w:val="0"/>
        <w:snapToGrid w:val="0"/>
        <w:spacing w:after="0" w:line="560" w:lineRule="exact"/>
        <w:ind w:firstLineChars="200" w:firstLine="64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1</w:t>
      </w:r>
      <w:r>
        <w:rPr>
          <w:rFonts w:ascii="仿宋" w:eastAsia="仿宋" w:hAnsi="仿宋" w:cs="宋体"/>
          <w:color w:val="333333"/>
          <w:kern w:val="0"/>
          <w:sz w:val="32"/>
          <w:szCs w:val="32"/>
          <w14:ligatures w14:val="none"/>
        </w:rPr>
        <w:t>5</w:t>
      </w:r>
      <w:r>
        <w:rPr>
          <w:rFonts w:ascii="仿宋" w:eastAsia="仿宋" w:hAnsi="仿宋" w:cs="宋体" w:hint="eastAsia"/>
          <w:color w:val="333333"/>
          <w:kern w:val="0"/>
          <w:sz w:val="32"/>
          <w:szCs w:val="32"/>
          <w14:ligatures w14:val="none"/>
        </w:rPr>
        <w:t>.</w:t>
      </w:r>
      <w:r>
        <w:rPr>
          <w:rFonts w:ascii="仿宋" w:eastAsia="仿宋" w:hAnsi="仿宋" w:cs="宋体"/>
          <w:color w:val="333333"/>
          <w:kern w:val="0"/>
          <w:sz w:val="32"/>
          <w:szCs w:val="32"/>
          <w14:ligatures w14:val="none"/>
        </w:rPr>
        <w:t>数智赋能视角下中国特色学徒制创新发展研究</w:t>
      </w:r>
    </w:p>
    <w:sectPr w:rsidR="00541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8DE" w:rsidRDefault="00E128DE">
      <w:pPr>
        <w:spacing w:line="240" w:lineRule="auto"/>
      </w:pPr>
    </w:p>
  </w:endnote>
  <w:endnote w:type="continuationSeparator" w:id="0">
    <w:p w:rsidR="00E128DE" w:rsidRDefault="00E128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8DE" w:rsidRDefault="00E128DE">
      <w:pPr>
        <w:spacing w:after="0"/>
      </w:pPr>
    </w:p>
  </w:footnote>
  <w:footnote w:type="continuationSeparator" w:id="0">
    <w:p w:rsidR="00E128DE" w:rsidRDefault="00E128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208DB"/>
    <w:multiLevelType w:val="multilevel"/>
    <w:tmpl w:val="2FA208DB"/>
    <w:lvl w:ilvl="0">
      <w:start w:val="2"/>
      <w:numFmt w:val="japaneseCounting"/>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9DB"/>
    <w:rsid w:val="001544CF"/>
    <w:rsid w:val="001B13BC"/>
    <w:rsid w:val="002A2269"/>
    <w:rsid w:val="004148F0"/>
    <w:rsid w:val="00541FDC"/>
    <w:rsid w:val="005F3479"/>
    <w:rsid w:val="008259DB"/>
    <w:rsid w:val="00866B24"/>
    <w:rsid w:val="0097368C"/>
    <w:rsid w:val="00CB2651"/>
    <w:rsid w:val="00CD47A6"/>
    <w:rsid w:val="00E00D7F"/>
    <w:rsid w:val="00E128DE"/>
    <w:rsid w:val="00E94D21"/>
    <w:rsid w:val="00F264F5"/>
    <w:rsid w:val="2D90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055AD6-04EB-4D4A-97D9-C097FF9A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7">
    <w:name w:val="Strong"/>
    <w:basedOn w:val="a0"/>
    <w:uiPriority w:val="22"/>
    <w:qFormat/>
    <w:rPr>
      <w:b/>
      <w:bCs/>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引用 字符"/>
    <w:basedOn w:val="a0"/>
    <w:link w:val="a8"/>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huolijuan</dc:creator>
  <cp:lastModifiedBy>Wenlong Liu</cp:lastModifiedBy>
  <cp:revision>2</cp:revision>
  <dcterms:created xsi:type="dcterms:W3CDTF">2024-12-15T08:11:00Z</dcterms:created>
  <dcterms:modified xsi:type="dcterms:W3CDTF">2024-12-15T08:11:00Z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88A0049943FD451B8F02394B29642FAC_12</vt:lpwstr>
  </property>
</Properties>
</file>