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750" w:lineRule="atLeast"/>
        <w:jc w:val="center"/>
        <w:rPr>
          <w:color w:val="01337C"/>
          <w:sz w:val="32"/>
          <w:szCs w:val="24"/>
          <w:shd w:val="clear" w:color="auto" w:fill="FFFFFF"/>
        </w:rPr>
      </w:pPr>
      <w:r>
        <w:rPr>
          <w:rFonts w:hint="eastAsia"/>
          <w:color w:val="01337C"/>
          <w:sz w:val="32"/>
          <w:szCs w:val="24"/>
          <w:shd w:val="clear" w:color="auto" w:fill="FFFFFF"/>
        </w:rPr>
        <w:t>《习近平新时代中国特色社会主义思想概论》课程标准</w:t>
      </w:r>
    </w:p>
    <w:p>
      <w:pPr>
        <w:spacing w:line="315" w:lineRule="atLeast"/>
        <w:ind w:firstLine="420"/>
        <w:rPr>
          <w:rStyle w:val="8"/>
          <w:rFonts w:ascii="宋体" w:hAnsi="宋体" w:cs="宋体"/>
          <w:bCs/>
          <w:color w:val="444444"/>
          <w:sz w:val="24"/>
          <w:shd w:val="clear" w:color="auto" w:fill="FFFFFF"/>
        </w:rPr>
      </w:pPr>
    </w:p>
    <w:p>
      <w:pPr>
        <w:spacing w:line="315" w:lineRule="atLeast"/>
        <w:ind w:firstLine="420"/>
        <w:rPr>
          <w:rFonts w:cs="Calibri"/>
          <w:szCs w:val="21"/>
        </w:rPr>
      </w:pPr>
      <w:r>
        <w:rPr>
          <w:rStyle w:val="8"/>
          <w:rFonts w:hint="eastAsia" w:ascii="宋体" w:hAnsi="宋体" w:cs="宋体"/>
          <w:bCs/>
          <w:color w:val="444444"/>
          <w:sz w:val="24"/>
          <w:shd w:val="clear" w:color="auto" w:fill="FFFFFF"/>
        </w:rPr>
        <w:t>一、课程信息</w:t>
      </w:r>
    </w:p>
    <w:p>
      <w:pPr>
        <w:spacing w:line="360" w:lineRule="atLeast"/>
        <w:ind w:firstLine="3190" w:firstLineChars="1450"/>
        <w:rPr>
          <w:rFonts w:cs="Calibri"/>
          <w:szCs w:val="21"/>
        </w:rPr>
      </w:pPr>
      <w:r>
        <w:rPr>
          <w:rFonts w:hint="eastAsia" w:ascii="宋体" w:hAnsi="宋体" w:cs="宋体"/>
          <w:color w:val="444444"/>
          <w:szCs w:val="21"/>
          <w:shd w:val="clear" w:color="auto" w:fill="FFFFFF"/>
        </w:rPr>
        <w:t>表1  课程信息表</w:t>
      </w:r>
    </w:p>
    <w:tbl>
      <w:tblPr>
        <w:tblStyle w:val="6"/>
        <w:tblW w:w="8524" w:type="dxa"/>
        <w:jc w:val="center"/>
        <w:tblLayout w:type="autofit"/>
        <w:tblCellMar>
          <w:top w:w="0" w:type="dxa"/>
          <w:left w:w="0" w:type="dxa"/>
          <w:bottom w:w="0" w:type="dxa"/>
          <w:right w:w="0" w:type="dxa"/>
        </w:tblCellMar>
      </w:tblPr>
      <w:tblGrid>
        <w:gridCol w:w="1177"/>
        <w:gridCol w:w="3327"/>
        <w:gridCol w:w="1432"/>
        <w:gridCol w:w="2588"/>
      </w:tblGrid>
      <w:tr>
        <w:tblPrEx>
          <w:tblCellMar>
            <w:top w:w="0" w:type="dxa"/>
            <w:left w:w="0" w:type="dxa"/>
            <w:bottom w:w="0" w:type="dxa"/>
            <w:right w:w="0" w:type="dxa"/>
          </w:tblCellMar>
        </w:tblPrEx>
        <w:trPr>
          <w:trHeight w:val="454" w:hRule="atLeast"/>
          <w:jc w:val="center"/>
        </w:trPr>
        <w:tc>
          <w:tcPr>
            <w:tcW w:w="117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课程名称</w:t>
            </w:r>
          </w:p>
        </w:tc>
        <w:tc>
          <w:tcPr>
            <w:tcW w:w="332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《习近平新时代中国特色社会主义思想概论》</w:t>
            </w:r>
          </w:p>
        </w:tc>
        <w:tc>
          <w:tcPr>
            <w:tcW w:w="1432"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开课院部</w:t>
            </w:r>
          </w:p>
        </w:tc>
        <w:tc>
          <w:tcPr>
            <w:tcW w:w="258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全校所有二级学院</w:t>
            </w:r>
          </w:p>
        </w:tc>
      </w:tr>
      <w:tr>
        <w:tblPrEx>
          <w:tblCellMar>
            <w:top w:w="0" w:type="dxa"/>
            <w:left w:w="0" w:type="dxa"/>
            <w:bottom w:w="0" w:type="dxa"/>
            <w:right w:w="0" w:type="dxa"/>
          </w:tblCellMar>
        </w:tblPrEx>
        <w:trPr>
          <w:trHeight w:val="454" w:hRule="atLeast"/>
          <w:jc w:val="center"/>
        </w:trPr>
        <w:tc>
          <w:tcPr>
            <w:tcW w:w="117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前导课程</w:t>
            </w:r>
          </w:p>
        </w:tc>
        <w:tc>
          <w:tcPr>
            <w:tcW w:w="3327"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hint="eastAsia" w:ascii="宋体" w:hAnsi="宋体" w:cs="宋体"/>
                <w:szCs w:val="21"/>
              </w:rPr>
            </w:pPr>
            <w:r>
              <w:rPr>
                <w:rFonts w:hint="eastAsia" w:ascii="宋体" w:hAnsi="宋体" w:cs="宋体"/>
                <w:szCs w:val="21"/>
              </w:rPr>
              <w:t>《思想道德修养与法律基础》《毛泽东思想与中国特色社会主义理论体系概论》</w:t>
            </w:r>
          </w:p>
          <w:p>
            <w:pPr>
              <w:spacing w:line="360" w:lineRule="atLeast"/>
              <w:jc w:val="center"/>
              <w:rPr>
                <w:rFonts w:ascii="宋体" w:hAnsi="宋体" w:cs="宋体"/>
                <w:szCs w:val="21"/>
              </w:rPr>
            </w:pPr>
            <w:r>
              <w:rPr>
                <w:rFonts w:hint="eastAsia" w:ascii="宋体" w:hAnsi="宋体" w:cs="宋体"/>
                <w:szCs w:val="21"/>
              </w:rPr>
              <w:t>《形势与政策》</w:t>
            </w:r>
          </w:p>
        </w:tc>
        <w:tc>
          <w:tcPr>
            <w:tcW w:w="1432"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后续课程</w:t>
            </w:r>
          </w:p>
        </w:tc>
        <w:tc>
          <w:tcPr>
            <w:tcW w:w="2588"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无</w:t>
            </w:r>
          </w:p>
        </w:tc>
      </w:tr>
      <w:tr>
        <w:tblPrEx>
          <w:tblCellMar>
            <w:top w:w="0" w:type="dxa"/>
            <w:left w:w="0" w:type="dxa"/>
            <w:bottom w:w="0" w:type="dxa"/>
            <w:right w:w="0" w:type="dxa"/>
          </w:tblCellMar>
        </w:tblPrEx>
        <w:trPr>
          <w:trHeight w:val="454" w:hRule="atLeast"/>
          <w:jc w:val="center"/>
        </w:trPr>
        <w:tc>
          <w:tcPr>
            <w:tcW w:w="117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课程性质</w:t>
            </w:r>
          </w:p>
        </w:tc>
        <w:tc>
          <w:tcPr>
            <w:tcW w:w="3327"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必修课</w:t>
            </w:r>
          </w:p>
        </w:tc>
        <w:tc>
          <w:tcPr>
            <w:tcW w:w="1432"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开设学期</w:t>
            </w:r>
          </w:p>
        </w:tc>
        <w:tc>
          <w:tcPr>
            <w:tcW w:w="2588"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二年级一、二学期</w:t>
            </w:r>
          </w:p>
        </w:tc>
      </w:tr>
      <w:tr>
        <w:tblPrEx>
          <w:tblCellMar>
            <w:top w:w="0" w:type="dxa"/>
            <w:left w:w="0" w:type="dxa"/>
            <w:bottom w:w="0" w:type="dxa"/>
            <w:right w:w="0" w:type="dxa"/>
          </w:tblCellMar>
        </w:tblPrEx>
        <w:trPr>
          <w:trHeight w:val="566" w:hRule="atLeast"/>
          <w:jc w:val="center"/>
        </w:trPr>
        <w:tc>
          <w:tcPr>
            <w:tcW w:w="117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总学时</w:t>
            </w:r>
          </w:p>
        </w:tc>
        <w:tc>
          <w:tcPr>
            <w:tcW w:w="3327"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48</w:t>
            </w:r>
          </w:p>
        </w:tc>
        <w:tc>
          <w:tcPr>
            <w:tcW w:w="1432"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学分</w:t>
            </w:r>
          </w:p>
        </w:tc>
        <w:tc>
          <w:tcPr>
            <w:tcW w:w="2588"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3</w:t>
            </w:r>
          </w:p>
        </w:tc>
      </w:tr>
      <w:tr>
        <w:tblPrEx>
          <w:tblCellMar>
            <w:top w:w="0" w:type="dxa"/>
            <w:left w:w="0" w:type="dxa"/>
            <w:bottom w:w="0" w:type="dxa"/>
            <w:right w:w="0" w:type="dxa"/>
          </w:tblCellMar>
        </w:tblPrEx>
        <w:trPr>
          <w:trHeight w:val="454" w:hRule="atLeast"/>
          <w:jc w:val="center"/>
        </w:trPr>
        <w:tc>
          <w:tcPr>
            <w:tcW w:w="117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适用专业</w:t>
            </w:r>
          </w:p>
        </w:tc>
        <w:tc>
          <w:tcPr>
            <w:tcW w:w="7347"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适用于高职高专各专业的学生</w:t>
            </w:r>
          </w:p>
        </w:tc>
      </w:tr>
    </w:tbl>
    <w:p>
      <w:pPr>
        <w:spacing w:line="315" w:lineRule="atLeast"/>
        <w:ind w:firstLine="420"/>
        <w:rPr>
          <w:rFonts w:ascii="Calibri" w:hAnsi="Calibri" w:cs="Calibri"/>
          <w:kern w:val="2"/>
          <w:sz w:val="21"/>
          <w:szCs w:val="21"/>
        </w:rPr>
      </w:pPr>
      <w:r>
        <w:rPr>
          <w:rStyle w:val="8"/>
          <w:rFonts w:hint="eastAsia" w:ascii="宋体" w:hAnsi="宋体" w:cs="宋体"/>
          <w:bCs/>
          <w:color w:val="444444"/>
          <w:sz w:val="24"/>
          <w:shd w:val="clear" w:color="auto" w:fill="FFFFFF"/>
        </w:rPr>
        <w:t>二、课程性质与任务</w:t>
      </w:r>
    </w:p>
    <w:p>
      <w:pPr>
        <w:spacing w:line="315" w:lineRule="atLeast"/>
        <w:ind w:firstLine="482"/>
        <w:rPr>
          <w:rFonts w:cs="Calibri"/>
          <w:szCs w:val="21"/>
        </w:rPr>
      </w:pPr>
      <w:r>
        <w:rPr>
          <w:rStyle w:val="8"/>
          <w:rFonts w:hint="eastAsia" w:ascii="宋体" w:hAnsi="宋体" w:cs="宋体"/>
          <w:color w:val="444444"/>
          <w:sz w:val="24"/>
          <w:shd w:val="clear" w:color="auto" w:fill="FFFFFF"/>
        </w:rPr>
        <w:t>1.课程性质</w:t>
      </w:r>
    </w:p>
    <w:p>
      <w:pPr>
        <w:spacing w:line="315" w:lineRule="atLeast"/>
        <w:ind w:firstLine="420"/>
        <w:rPr>
          <w:rFonts w:cs="Calibri"/>
          <w:szCs w:val="21"/>
        </w:rPr>
      </w:pPr>
      <w:r>
        <w:rPr>
          <w:rFonts w:hint="eastAsia" w:ascii="宋体" w:hAnsi="宋体" w:cs="宋体"/>
          <w:szCs w:val="21"/>
        </w:rPr>
        <w:t>《习近平新时代中国特色社会主义思想概论》</w:t>
      </w:r>
      <w:r>
        <w:rPr>
          <w:rFonts w:hint="eastAsia" w:ascii="宋体" w:hAnsi="宋体" w:cs="宋体"/>
          <w:color w:val="444444"/>
          <w:szCs w:val="21"/>
          <w:shd w:val="clear" w:color="auto" w:fill="FFFFFF"/>
        </w:rPr>
        <w:t>课是普通高等院校学生必修的一门马克思主义政治理论课，是高校思想政治理论课程中的核心课程。</w:t>
      </w:r>
    </w:p>
    <w:p>
      <w:pPr>
        <w:spacing w:line="315" w:lineRule="atLeast"/>
        <w:ind w:firstLine="420"/>
        <w:rPr>
          <w:rFonts w:ascii="宋体" w:hAnsi="宋体" w:cs="宋体"/>
          <w:szCs w:val="21"/>
        </w:rPr>
      </w:pPr>
      <w:r>
        <w:rPr>
          <w:rFonts w:hint="eastAsia" w:ascii="宋体" w:hAnsi="宋体" w:cs="宋体"/>
          <w:szCs w:val="21"/>
        </w:rPr>
        <w:t>《习近平新时代中国特色社会主义思想概论》课是为我校各二级学院所有专业开设的思想政治理论课的核心课程。是在学生学习了《思想道德与法律基础》《毛泽东思想与中国特色社会主义理论体系概论》两门必修课，具备了正确的理想信念、良好的个人品德、职业道德、社会公德、家庭美德和一定的法律思维基础上，开设的一门理论实践一体化的课程。该课程</w:t>
      </w:r>
      <w:r>
        <w:rPr>
          <w:rFonts w:ascii="宋体" w:hAnsi="宋体" w:cs="宋体"/>
          <w:szCs w:val="21"/>
        </w:rPr>
        <w:t>充分系统阐述关于新时代坚持和发展中国特色社会主义的总目标、总任务、总体布局、战略布局</w:t>
      </w:r>
      <w:r>
        <w:rPr>
          <w:rFonts w:hint="eastAsia" w:ascii="宋体" w:hAnsi="宋体" w:cs="宋体"/>
          <w:szCs w:val="21"/>
        </w:rPr>
        <w:t>、</w:t>
      </w:r>
      <w:r>
        <w:rPr>
          <w:rFonts w:ascii="宋体" w:hAnsi="宋体" w:cs="宋体"/>
          <w:szCs w:val="21"/>
        </w:rPr>
        <w:t>发展方向、发展方式、发展动力、战略步骤、外部条件、政治保证等基本观点，全面介绍习近平总书记对经济、政治、法治、科技、文化、教育、民生、民族、宗教、社会、生态文明、国家安全、国防和军队、“一国两制”和祖国统一、统一战线、外交、党的建设等方面作出的理论概括和战略指引。引导学生树立中国特色社会主义共同理想，深刻认识习近平新时代中国特色社会主义思想是实现中华民族伟大复兴的行动指南。 </w:t>
      </w:r>
    </w:p>
    <w:p>
      <w:pPr>
        <w:spacing w:line="315" w:lineRule="atLeast"/>
        <w:ind w:firstLine="420"/>
        <w:rPr>
          <w:rFonts w:ascii="宋体" w:hAnsi="宋体" w:cs="宋体"/>
          <w:color w:val="444444"/>
          <w:szCs w:val="21"/>
          <w:shd w:val="clear" w:color="auto" w:fill="FFFFFF"/>
        </w:rPr>
      </w:pPr>
    </w:p>
    <w:p>
      <w:pPr>
        <w:spacing w:line="315" w:lineRule="atLeast"/>
        <w:ind w:firstLine="482"/>
        <w:rPr>
          <w:rStyle w:val="8"/>
          <w:rFonts w:ascii="宋体" w:hAnsi="宋体" w:cs="宋体"/>
          <w:color w:val="444444"/>
          <w:sz w:val="24"/>
          <w:shd w:val="clear" w:color="auto" w:fill="FFFFFF"/>
        </w:rPr>
      </w:pPr>
      <w:r>
        <w:rPr>
          <w:rStyle w:val="8"/>
          <w:rFonts w:hint="eastAsia"/>
          <w:sz w:val="24"/>
        </w:rPr>
        <w:t>2. </w:t>
      </w:r>
      <w:r>
        <w:rPr>
          <w:rStyle w:val="8"/>
          <w:rFonts w:hint="eastAsia" w:ascii="宋体" w:hAnsi="宋体" w:cs="宋体"/>
          <w:color w:val="444444"/>
          <w:sz w:val="24"/>
          <w:shd w:val="clear" w:color="auto" w:fill="FFFFFF"/>
        </w:rPr>
        <w:t>课程任务</w:t>
      </w:r>
    </w:p>
    <w:p>
      <w:pPr>
        <w:spacing w:line="315" w:lineRule="atLeast"/>
        <w:ind w:firstLine="440" w:firstLineChars="200"/>
        <w:rPr>
          <w:rFonts w:hint="eastAsia" w:ascii="宋体" w:hAnsi="宋体" w:cs="宋体"/>
          <w:color w:val="444444"/>
          <w:szCs w:val="21"/>
          <w:shd w:val="clear" w:color="auto" w:fill="FFFFFF"/>
        </w:rPr>
      </w:pPr>
      <w:r>
        <w:rPr>
          <w:rFonts w:hint="eastAsia" w:ascii="宋体" w:hAnsi="宋体" w:cs="宋体"/>
          <w:color w:val="444444"/>
          <w:szCs w:val="21"/>
          <w:shd w:val="clear" w:color="auto" w:fill="FFFFFF"/>
        </w:rPr>
        <w:t>《习近平新时代中国特色社会主义思想概论》课的总体目标是通过教育教学，引导青年学生增强政治意识、大局意识、核心意识、看齐意识，坚定中国特色社会主义道路自信、理论自信、制度自信、文化自信，做到坚决维护习近平总书记党中央的核心、全党的核心地位，坚决维护党中央权威和集中统一领导，树立共产主义远大理想和中国特色社会主义共同理想，厚植爱国主义情怀，把爱国情、强国志、报国行自觉融入坚持和发展中国特色社会主义、建设社会主义现代化强国、实现中华民族伟大复兴的奋斗之中。</w:t>
      </w:r>
    </w:p>
    <w:p>
      <w:pPr>
        <w:spacing w:line="315" w:lineRule="atLeast"/>
        <w:ind w:firstLine="440" w:firstLineChars="200"/>
        <w:rPr>
          <w:rFonts w:ascii="宋体" w:hAnsi="宋体" w:cs="宋体"/>
          <w:b/>
          <w:color w:val="444444"/>
          <w:sz w:val="24"/>
          <w:shd w:val="clear" w:color="auto" w:fill="FFFFFF"/>
        </w:rPr>
      </w:pPr>
      <w:r>
        <w:rPr>
          <w:rFonts w:hint="eastAsia" w:ascii="宋体" w:hAnsi="宋体" w:cs="宋体"/>
          <w:color w:val="444444"/>
          <w:szCs w:val="21"/>
          <w:shd w:val="clear" w:color="auto" w:fill="FFFFFF"/>
        </w:rPr>
        <w:t>具体而言，要做到以下几点：一是通过教育教学，让青年学生准确理解、深刻把握习近平新时代中国特色社会主义思想的时代背景、核心要义、精神实质、丰富内涵、实践要求，掌握这一思想的科学体系和主要内容。二是通过教育教学，让青年学生深入领会习近平新时代中国特色社会主义思想的时代意义、理论意义、实践意义、世界意义，清醒认识这一思想的历史地位，增强用这一思想武装头脑的自觉性。三是通过教育教学，让青年学生全面了解习近平新时代中国特色社会主义思想中蕴含的人民至上、崇高信仰、历史自觉、问题导向、斗争精神、天下情怀等理论品格和思想风范，使青年大学生增进对这一思想的政治认同、理论认同、思想认同和情感认同。四是通过教育教学，让青年学生深刻把握习近平新时代中国特色社会主义思想中贯穿的马克思主义立场观点方法，使学生在学习过程中，既能掌握理论，也能得到许多思想的启迪、战略的启蒙和智慧的启示，达到入脑、入心的效果。</w:t>
      </w:r>
    </w:p>
    <w:p>
      <w:pPr>
        <w:spacing w:line="315" w:lineRule="atLeast"/>
        <w:ind w:firstLine="420"/>
        <w:rPr>
          <w:rStyle w:val="8"/>
          <w:rFonts w:ascii="宋体" w:hAnsi="宋体" w:cs="宋体"/>
          <w:bCs/>
          <w:color w:val="444444"/>
          <w:sz w:val="24"/>
          <w:shd w:val="clear" w:color="auto" w:fill="FFFFFF"/>
        </w:rPr>
      </w:pPr>
      <w:r>
        <w:rPr>
          <w:rStyle w:val="8"/>
          <w:rFonts w:hint="eastAsia" w:ascii="宋体" w:hAnsi="宋体" w:cs="宋体"/>
          <w:bCs/>
          <w:color w:val="444444"/>
          <w:sz w:val="24"/>
          <w:shd w:val="clear" w:color="auto" w:fill="FFFFFF"/>
        </w:rPr>
        <w:t>三、课程目标</w:t>
      </w:r>
    </w:p>
    <w:p>
      <w:pPr>
        <w:spacing w:line="220" w:lineRule="atLeast"/>
        <w:ind w:firstLine="440" w:firstLineChars="200"/>
        <w:rPr>
          <w:rFonts w:ascii="宋体" w:hAnsi="宋体" w:cs="宋体"/>
          <w:color w:val="444444"/>
          <w:szCs w:val="21"/>
          <w:shd w:val="clear" w:color="auto" w:fill="FFFFFF"/>
        </w:rPr>
      </w:pPr>
      <w:r>
        <w:rPr>
          <w:rFonts w:hint="eastAsia" w:ascii="宋体" w:hAnsi="宋体" w:cs="宋体"/>
          <w:color w:val="444444"/>
          <w:szCs w:val="21"/>
          <w:shd w:val="clear" w:color="auto" w:fill="FFFFFF"/>
        </w:rPr>
        <w:t>培养什么样的人，是教育的重要问题。一个国家中，青年学生的价值取向决定未来整个国家的价值取向。古今中外，每个国家都是按照自己的政治要求来培养人的，教育也总是在服务自己国家建设中发展、壮大的。我国是中国共产党领导的社会主义国家，我们办的教育是社会主义教育。因此，我们的教育，必须始终坚持以马克思主义为指导，坚持社会主义办学方向。用党的创新理论成果武装青年大学生，是我们党领导教育事业发展的优良传统，是普通高校立德树人的根本要求，也是高校思想政治理论课教育教学承担的一项重要任务。习近平新时代中国特色社会主义思想是马克思主义中国化最新成果，是当代中国马克思主义、21世纪马克思主义。在当代中国，高举习近平新时代中国特色社会主义思想的伟大旗帜，就是高举马克思主义的旗帜；坚持和发展习近平新时代中国特色社会主义思想，就是真正坚持和发展马克思主义；坚持习近平新时代中国特色社会主义思想在意识形态的指导地位，就是坚持马克思主义在意识形态的指导地位。因此，高校思想政治理论课教师必须从坚持社会主义的办学方向、从坚持马克思主义在意识形态的指导地位、从培养中国特色社会主义事业建设者和接班人的高度，来认识用习近平新时代中国特色社会主义思想铸魂育人的重要意义。</w:t>
      </w:r>
    </w:p>
    <w:p>
      <w:pPr>
        <w:spacing w:line="315" w:lineRule="atLeast"/>
        <w:ind w:firstLine="420"/>
        <w:rPr>
          <w:rStyle w:val="8"/>
          <w:rFonts w:ascii="宋体" w:hAnsi="宋体" w:cs="宋体"/>
          <w:bCs/>
          <w:color w:val="444444"/>
          <w:sz w:val="24"/>
          <w:shd w:val="clear" w:color="auto" w:fill="FFFFFF"/>
        </w:rPr>
      </w:pPr>
      <w:r>
        <w:rPr>
          <w:rStyle w:val="8"/>
          <w:rFonts w:hint="eastAsia" w:ascii="宋体" w:cs="宋体"/>
          <w:bCs/>
        </w:rPr>
        <w:t>四、教学内容与学时安排</w:t>
      </w:r>
    </w:p>
    <w:p>
      <w:pPr>
        <w:spacing w:line="284" w:lineRule="atLeast"/>
        <w:ind w:firstLine="420"/>
        <w:jc w:val="center"/>
        <w:rPr>
          <w:rFonts w:cs="Calibri"/>
          <w:szCs w:val="21"/>
        </w:rPr>
      </w:pPr>
      <w:r>
        <w:rPr>
          <w:rFonts w:hint="eastAsia" w:ascii="宋体" w:hAnsi="宋体" w:cs="宋体"/>
          <w:color w:val="444444"/>
          <w:sz w:val="24"/>
          <w:shd w:val="clear" w:color="auto" w:fill="FFFFFF"/>
        </w:rPr>
        <w:t>表2  教学内容、目标、课时分配表</w:t>
      </w:r>
    </w:p>
    <w:tbl>
      <w:tblPr>
        <w:tblStyle w:val="6"/>
        <w:tblW w:w="8695"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602"/>
        <w:gridCol w:w="1096"/>
        <w:gridCol w:w="3253"/>
        <w:gridCol w:w="2274"/>
        <w:gridCol w:w="711"/>
        <w:gridCol w:w="759"/>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960" w:hRule="atLeast"/>
          <w:jc w:val="center"/>
        </w:trPr>
        <w:tc>
          <w:tcPr>
            <w:tcW w:w="60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84" w:lineRule="atLeast"/>
              <w:jc w:val="center"/>
              <w:rPr>
                <w:rFonts w:ascii="Calibri" w:hAnsi="Calibri" w:cs="Calibri"/>
                <w:kern w:val="2"/>
                <w:sz w:val="21"/>
                <w:szCs w:val="21"/>
              </w:rPr>
            </w:pPr>
            <w:r>
              <w:rPr>
                <w:rFonts w:hint="eastAsia" w:ascii="宋体" w:hAnsi="宋体" w:cs="宋体"/>
                <w:sz w:val="24"/>
              </w:rPr>
              <w:t>序号</w:t>
            </w:r>
          </w:p>
        </w:tc>
        <w:tc>
          <w:tcPr>
            <w:tcW w:w="10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84" w:lineRule="atLeast"/>
              <w:jc w:val="center"/>
              <w:rPr>
                <w:rFonts w:ascii="Calibri" w:hAnsi="Calibri" w:eastAsia="宋体" w:cs="Calibri"/>
                <w:szCs w:val="21"/>
              </w:rPr>
            </w:pPr>
            <w:r>
              <w:rPr>
                <w:rFonts w:hint="eastAsia" w:ascii="宋体" w:hAnsi="宋体" w:cs="宋体"/>
                <w:sz w:val="24"/>
              </w:rPr>
              <w:t>教学</w:t>
            </w:r>
          </w:p>
          <w:p>
            <w:pPr>
              <w:spacing w:line="284" w:lineRule="atLeast"/>
              <w:jc w:val="center"/>
              <w:rPr>
                <w:rFonts w:ascii="Calibri" w:hAnsi="Calibri" w:cs="Calibri"/>
                <w:kern w:val="2"/>
                <w:sz w:val="21"/>
                <w:szCs w:val="21"/>
              </w:rPr>
            </w:pPr>
            <w:r>
              <w:rPr>
                <w:rFonts w:hint="eastAsia" w:ascii="宋体" w:hAnsi="宋体" w:cs="宋体"/>
                <w:sz w:val="24"/>
              </w:rPr>
              <w:t>内容</w:t>
            </w:r>
          </w:p>
        </w:tc>
        <w:tc>
          <w:tcPr>
            <w:tcW w:w="5527" w:type="dxa"/>
            <w:gridSpan w:val="2"/>
            <w:tcBorders>
              <w:top w:val="single" w:color="000000" w:sz="8" w:space="0"/>
              <w:left w:val="single" w:color="000000" w:sz="8" w:space="0"/>
              <w:right w:val="single" w:color="000000" w:sz="8" w:space="0"/>
            </w:tcBorders>
            <w:tcMar>
              <w:top w:w="0" w:type="dxa"/>
              <w:left w:w="108" w:type="dxa"/>
              <w:bottom w:w="0" w:type="dxa"/>
              <w:right w:w="108" w:type="dxa"/>
            </w:tcMar>
            <w:vAlign w:val="center"/>
          </w:tcPr>
          <w:p>
            <w:pPr>
              <w:spacing w:line="284" w:lineRule="atLeast"/>
              <w:jc w:val="center"/>
              <w:rPr>
                <w:rFonts w:ascii="Calibri" w:hAnsi="Calibri" w:cs="Calibri"/>
                <w:kern w:val="2"/>
                <w:sz w:val="21"/>
                <w:szCs w:val="21"/>
              </w:rPr>
            </w:pPr>
            <w:r>
              <w:rPr>
                <w:rFonts w:hint="eastAsia" w:ascii="宋体" w:hAnsi="宋体" w:cs="宋体"/>
                <w:sz w:val="24"/>
              </w:rPr>
              <w:t>教学目标</w:t>
            </w:r>
          </w:p>
        </w:tc>
        <w:tc>
          <w:tcPr>
            <w:tcW w:w="71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84" w:lineRule="atLeast"/>
              <w:jc w:val="center"/>
              <w:rPr>
                <w:rFonts w:ascii="Calibri" w:hAnsi="Calibri" w:cs="Calibri"/>
                <w:kern w:val="2"/>
                <w:sz w:val="21"/>
                <w:szCs w:val="21"/>
              </w:rPr>
            </w:pPr>
            <w:r>
              <w:rPr>
                <w:rFonts w:hint="eastAsia" w:ascii="宋体" w:hAnsi="宋体" w:cs="宋体"/>
                <w:sz w:val="24"/>
              </w:rPr>
              <w:t>理论学时</w:t>
            </w:r>
          </w:p>
        </w:tc>
        <w:tc>
          <w:tcPr>
            <w:tcW w:w="75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84" w:lineRule="atLeast"/>
              <w:jc w:val="center"/>
              <w:rPr>
                <w:rFonts w:ascii="Calibri" w:hAnsi="Calibri" w:cs="Calibri"/>
                <w:kern w:val="2"/>
                <w:sz w:val="21"/>
                <w:szCs w:val="21"/>
              </w:rPr>
            </w:pPr>
            <w:r>
              <w:rPr>
                <w:rFonts w:hint="eastAsia" w:ascii="宋体" w:hAnsi="宋体" w:cs="宋体"/>
                <w:sz w:val="24"/>
              </w:rPr>
              <w:t>实践学时</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236" w:hRule="atLeast"/>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1</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ind w:firstLine="120" w:firstLineChars="50"/>
              <w:rPr>
                <w:sz w:val="24"/>
              </w:rPr>
            </w:pPr>
            <w:r>
              <w:rPr>
                <w:rFonts w:hint="eastAsia"/>
                <w:sz w:val="24"/>
              </w:rPr>
              <w:t>第一讲</w:t>
            </w:r>
          </w:p>
          <w:p>
            <w:pPr>
              <w:spacing w:line="315" w:lineRule="atLeast"/>
              <w:jc w:val="center"/>
              <w:rPr>
                <w:rFonts w:ascii="Calibri" w:hAnsi="Calibri" w:cs="Calibri"/>
                <w:kern w:val="2"/>
                <w:sz w:val="21"/>
                <w:szCs w:val="21"/>
              </w:rPr>
            </w:pPr>
            <w:r>
              <w:rPr>
                <w:rFonts w:hint="eastAsia"/>
                <w:sz w:val="24"/>
              </w:rPr>
              <w:t>马克思主义中国化时代化新的飞跃</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cs="Calibri"/>
                <w:szCs w:val="21"/>
              </w:rPr>
            </w:pPr>
          </w:p>
          <w:p>
            <w:pPr>
              <w:spacing w:line="315" w:lineRule="atLeast"/>
              <w:rPr>
                <w:sz w:val="24"/>
              </w:rPr>
            </w:pPr>
          </w:p>
          <w:p>
            <w:pPr>
              <w:spacing w:line="315" w:lineRule="atLeast"/>
              <w:rPr>
                <w:rFonts w:cs="Calibri"/>
                <w:szCs w:val="21"/>
              </w:rPr>
            </w:pPr>
            <w:r>
              <w:rPr>
                <w:rFonts w:hint="eastAsia"/>
                <w:sz w:val="24"/>
              </w:rPr>
              <w:t>把握习近平新时代中国特色社会主义思想创立的时代背景、历史方位、实践基础和根本途径；明确习近平新时代中国特色社会主义思想回答的重大时代课题；了解习近平新时代中国特色社会主义思想的主要内容；把握习近平新时代中国特色社会主义思想的世界观和方法论；理解习近平新时代中国特色社会主义思想的历史地位；学好用好习近平新时代中国特色社会主义思想的主要方法。</w:t>
            </w:r>
            <w:r>
              <w:rPr>
                <w:rFonts w:hint="eastAsia" w:ascii="宋体" w:hAnsi="宋体" w:cs="宋体"/>
                <w:color w:val="000000"/>
                <w:szCs w:val="21"/>
              </w:rPr>
              <w:t> </w:t>
            </w:r>
          </w:p>
          <w:p>
            <w:pPr>
              <w:spacing w:line="315" w:lineRule="atLeast"/>
              <w:rPr>
                <w:rFonts w:cs="Calibri"/>
                <w:szCs w:val="21"/>
              </w:rPr>
            </w:pPr>
            <w:r>
              <w:rPr>
                <w:rFonts w:hint="eastAsia" w:ascii="宋体" w:hAnsi="宋体" w:cs="宋体"/>
                <w:color w:val="000000"/>
                <w:szCs w:val="21"/>
              </w:rPr>
              <w:t> </w:t>
            </w:r>
          </w:p>
          <w:p>
            <w:pPr>
              <w:spacing w:line="315" w:lineRule="atLeast"/>
              <w:rPr>
                <w:rFonts w:cs="Calibri"/>
                <w:szCs w:val="21"/>
              </w:rPr>
            </w:pPr>
            <w:r>
              <w:rPr>
                <w:rFonts w:hint="eastAsia" w:ascii="宋体" w:hAnsi="宋体" w:cs="宋体"/>
                <w:color w:val="000000"/>
                <w:szCs w:val="21"/>
              </w:rPr>
              <w:t> </w:t>
            </w:r>
          </w:p>
          <w:p>
            <w:pPr>
              <w:spacing w:line="315" w:lineRule="atLeast"/>
              <w:rPr>
                <w:rFonts w:cs="Calibri"/>
                <w:szCs w:val="21"/>
              </w:rPr>
            </w:pP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3</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2</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第二讲</w:t>
            </w:r>
          </w:p>
          <w:p>
            <w:pPr>
              <w:spacing w:line="315" w:lineRule="atLeast"/>
              <w:jc w:val="center"/>
              <w:rPr>
                <w:rFonts w:hint="eastAsia"/>
                <w:sz w:val="24"/>
              </w:rPr>
            </w:pPr>
            <w:r>
              <w:rPr>
                <w:rFonts w:hint="eastAsia"/>
                <w:sz w:val="24"/>
              </w:rPr>
              <w:t>坚持和发展中国特色社会主义的总任务</w:t>
            </w:r>
          </w:p>
          <w:p>
            <w:pPr>
              <w:spacing w:line="315" w:lineRule="atLeast"/>
              <w:jc w:val="center"/>
              <w:rPr>
                <w:rFonts w:ascii="Calibri" w:hAnsi="Calibri" w:cs="Calibri"/>
                <w:kern w:val="2"/>
                <w:sz w:val="21"/>
                <w:szCs w:val="21"/>
              </w:rPr>
            </w:pP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both"/>
              <w:rPr>
                <w:rFonts w:ascii="Calibri" w:hAnsi="Calibri" w:cs="Calibri"/>
                <w:kern w:val="2"/>
                <w:sz w:val="21"/>
                <w:szCs w:val="21"/>
              </w:rPr>
            </w:pPr>
            <w:r>
              <w:rPr>
                <w:rFonts w:hint="eastAsia"/>
                <w:sz w:val="24"/>
              </w:rPr>
              <w:t>掌握实现中华民族伟大复兴进入不可逆转的历史进程的原因；理解中国特色社会主义是实现中华民族伟大复兴的必由之路以及如何以中国式现代化全面推进中华民族的伟大复兴。</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3</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3</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第三讲</w:t>
            </w:r>
          </w:p>
          <w:p>
            <w:pPr>
              <w:spacing w:line="315" w:lineRule="atLeast"/>
              <w:jc w:val="center"/>
              <w:rPr>
                <w:rFonts w:ascii="Calibri" w:hAnsi="Calibri" w:cs="Calibri"/>
                <w:kern w:val="2"/>
                <w:sz w:val="21"/>
                <w:szCs w:val="21"/>
              </w:rPr>
            </w:pPr>
            <w:r>
              <w:rPr>
                <w:rFonts w:hint="eastAsia"/>
                <w:sz w:val="24"/>
              </w:rPr>
              <w:t>坚持党的全面领导</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cs="Calibri"/>
                <w:szCs w:val="21"/>
              </w:rPr>
            </w:pPr>
            <w:r>
              <w:rPr>
                <w:rFonts w:hint="eastAsia" w:ascii="宋体" w:hAnsi="宋体" w:cs="宋体"/>
                <w:color w:val="000000"/>
                <w:szCs w:val="21"/>
              </w:rPr>
              <w:t> </w:t>
            </w:r>
          </w:p>
          <w:p>
            <w:pPr>
              <w:spacing w:line="315" w:lineRule="atLeast"/>
              <w:rPr>
                <w:rFonts w:cs="Calibri"/>
                <w:szCs w:val="21"/>
              </w:rPr>
            </w:pPr>
          </w:p>
          <w:p>
            <w:pPr>
              <w:spacing w:line="315" w:lineRule="atLeast"/>
              <w:rPr>
                <w:rFonts w:cs="Calibri"/>
                <w:szCs w:val="21"/>
              </w:rPr>
            </w:pPr>
            <w:r>
              <w:rPr>
                <w:rFonts w:hint="eastAsia" w:ascii="宋体" w:hAnsi="宋体" w:cs="宋体"/>
                <w:color w:val="000000"/>
                <w:szCs w:val="21"/>
              </w:rPr>
              <w:t> </w:t>
            </w:r>
          </w:p>
          <w:p>
            <w:pPr>
              <w:spacing w:line="315" w:lineRule="atLeast"/>
              <w:rPr>
                <w:rFonts w:cs="Calibri"/>
                <w:szCs w:val="21"/>
              </w:rPr>
            </w:pPr>
            <w:r>
              <w:rPr>
                <w:rFonts w:hint="eastAsia"/>
                <w:sz w:val="24"/>
              </w:rPr>
              <w:t>明确为什么要坚持党的领导；怎样理解党的领导的全面性、系统性和整体性以及怎样才能做到自觉在思想上、政治上和行动上同党中央保持高度一致。</w:t>
            </w:r>
            <w:r>
              <w:rPr>
                <w:rFonts w:hint="eastAsia" w:ascii="宋体" w:hAnsi="宋体" w:cs="宋体"/>
                <w:color w:val="000000"/>
                <w:szCs w:val="21"/>
              </w:rPr>
              <w:t> </w:t>
            </w:r>
          </w:p>
          <w:p>
            <w:pPr>
              <w:spacing w:line="315" w:lineRule="atLeast"/>
              <w:rPr>
                <w:rFonts w:cs="Calibri"/>
                <w:szCs w:val="21"/>
              </w:rPr>
            </w:pPr>
            <w:r>
              <w:rPr>
                <w:rFonts w:hint="eastAsia" w:ascii="宋体" w:hAnsi="宋体" w:cs="宋体"/>
                <w:color w:val="000000"/>
                <w:szCs w:val="21"/>
              </w:rPr>
              <w:t> </w:t>
            </w:r>
          </w:p>
          <w:p>
            <w:pPr>
              <w:spacing w:line="315" w:lineRule="atLeast"/>
              <w:rPr>
                <w:rFonts w:cs="Calibri"/>
                <w:szCs w:val="21"/>
              </w:rPr>
            </w:pPr>
            <w:r>
              <w:rPr>
                <w:rFonts w:hint="eastAsia" w:ascii="宋体" w:hAnsi="宋体" w:cs="宋体"/>
                <w:color w:val="000000"/>
                <w:szCs w:val="21"/>
              </w:rPr>
              <w:t> </w:t>
            </w:r>
          </w:p>
          <w:p>
            <w:pPr>
              <w:spacing w:line="315" w:lineRule="atLeast"/>
              <w:jc w:val="both"/>
              <w:rPr>
                <w:rFonts w:ascii="Calibri" w:hAnsi="Calibri" w:cs="Calibri"/>
                <w:kern w:val="2"/>
                <w:sz w:val="21"/>
                <w:szCs w:val="21"/>
              </w:rPr>
            </w:pPr>
            <w:r>
              <w:rPr>
                <w:rFonts w:hint="eastAsia" w:ascii="宋体" w:hAnsi="宋体" w:cs="宋体"/>
                <w:color w:val="000000"/>
                <w:szCs w:val="21"/>
              </w:rPr>
              <w:t> </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3</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4</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第四讲</w:t>
            </w:r>
          </w:p>
          <w:p>
            <w:pPr>
              <w:spacing w:line="315" w:lineRule="atLeast"/>
              <w:jc w:val="center"/>
              <w:rPr>
                <w:rFonts w:ascii="Calibri" w:hAnsi="Calibri" w:cs="Calibri"/>
                <w:kern w:val="2"/>
                <w:sz w:val="21"/>
                <w:szCs w:val="21"/>
              </w:rPr>
            </w:pPr>
            <w:r>
              <w:rPr>
                <w:rFonts w:hint="eastAsia"/>
                <w:sz w:val="24"/>
              </w:rPr>
              <w:t>坚持以人民为中心</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both"/>
              <w:rPr>
                <w:rFonts w:hint="eastAsia"/>
                <w:sz w:val="24"/>
              </w:rPr>
            </w:pPr>
          </w:p>
          <w:p>
            <w:pPr>
              <w:spacing w:line="315" w:lineRule="atLeast"/>
              <w:jc w:val="both"/>
              <w:rPr>
                <w:rFonts w:hint="eastAsia"/>
                <w:sz w:val="24"/>
              </w:rPr>
            </w:pPr>
            <w:r>
              <w:rPr>
                <w:rFonts w:hint="eastAsia"/>
                <w:sz w:val="24"/>
              </w:rPr>
              <w:t>明确为什么必须坚持以人民为中心；理解不断实现人民对美好生活的向往是党的奋斗目标；掌握以人民为中心发展思想的践行。</w:t>
            </w:r>
          </w:p>
          <w:p>
            <w:pPr>
              <w:spacing w:line="315" w:lineRule="atLeast"/>
              <w:jc w:val="both"/>
              <w:rPr>
                <w:rFonts w:ascii="Calibri" w:hAnsi="Calibri" w:cs="Calibri"/>
                <w:kern w:val="2"/>
                <w:sz w:val="21"/>
                <w:szCs w:val="21"/>
              </w:rPr>
            </w:pP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3</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711" w:hRule="atLeast"/>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5</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第五讲</w:t>
            </w:r>
          </w:p>
          <w:p>
            <w:pPr>
              <w:spacing w:line="315" w:lineRule="atLeast"/>
              <w:jc w:val="center"/>
              <w:rPr>
                <w:rFonts w:ascii="Calibri" w:hAnsi="Calibri" w:cs="Calibri"/>
                <w:kern w:val="2"/>
                <w:sz w:val="21"/>
                <w:szCs w:val="21"/>
              </w:rPr>
            </w:pPr>
            <w:r>
              <w:rPr>
                <w:rFonts w:hint="eastAsia"/>
                <w:sz w:val="24"/>
              </w:rPr>
              <w:t>全面深化改革</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both"/>
              <w:rPr>
                <w:rFonts w:hint="eastAsia"/>
                <w:sz w:val="24"/>
              </w:rPr>
            </w:pPr>
          </w:p>
          <w:p>
            <w:pPr>
              <w:spacing w:line="315" w:lineRule="atLeast"/>
              <w:jc w:val="both"/>
              <w:rPr>
                <w:rFonts w:hint="eastAsia"/>
                <w:sz w:val="24"/>
              </w:rPr>
            </w:pPr>
            <w:r>
              <w:rPr>
                <w:rFonts w:hint="eastAsia"/>
                <w:sz w:val="24"/>
              </w:rPr>
              <w:t>了解全面深化改革的原因；明确推进全面深化改革的总目标以及全面深化改革的方向、立场和原则；掌握如何构建对外开放新格局。</w:t>
            </w:r>
          </w:p>
          <w:p>
            <w:pPr>
              <w:spacing w:line="315" w:lineRule="atLeast"/>
              <w:jc w:val="both"/>
              <w:rPr>
                <w:rFonts w:ascii="Calibri" w:hAnsi="Calibri" w:cs="Calibri"/>
                <w:kern w:val="2"/>
                <w:sz w:val="21"/>
                <w:szCs w:val="21"/>
              </w:rPr>
            </w:pP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3</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eastAsia="宋体" w:cs="Calibri"/>
                <w:szCs w:val="21"/>
              </w:rPr>
            </w:pPr>
            <w:r>
              <w:rPr>
                <w:rFonts w:hint="eastAsia" w:ascii="宋体" w:hAnsi="宋体" w:cs="宋体"/>
                <w:szCs w:val="21"/>
              </w:rPr>
              <w:t> </w:t>
            </w:r>
          </w:p>
          <w:p>
            <w:pPr>
              <w:spacing w:line="315" w:lineRule="atLeast"/>
              <w:jc w:val="center"/>
              <w:rPr>
                <w:rFonts w:cs="Calibri"/>
                <w:szCs w:val="21"/>
              </w:rPr>
            </w:pPr>
            <w:r>
              <w:rPr>
                <w:rFonts w:hint="eastAsia" w:ascii="宋体" w:hAnsi="宋体" w:cs="宋体"/>
                <w:szCs w:val="21"/>
              </w:rPr>
              <w:t>6</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Fonts w:hint="eastAsia" w:ascii="宋体" w:hAnsi="宋体" w:cs="宋体"/>
                <w:color w:val="000000"/>
                <w:szCs w:val="21"/>
              </w:rPr>
              <w:t> </w:t>
            </w:r>
          </w:p>
          <w:p>
            <w:pPr>
              <w:jc w:val="center"/>
              <w:rPr>
                <w:sz w:val="24"/>
              </w:rPr>
            </w:pPr>
            <w:r>
              <w:rPr>
                <w:rFonts w:hint="eastAsia"/>
                <w:sz w:val="24"/>
              </w:rPr>
              <w:t>第六讲</w:t>
            </w:r>
          </w:p>
          <w:p>
            <w:pPr>
              <w:spacing w:line="315" w:lineRule="atLeast"/>
              <w:jc w:val="center"/>
              <w:rPr>
                <w:rFonts w:ascii="Calibri" w:hAnsi="Calibri" w:cs="Calibri"/>
                <w:kern w:val="2"/>
                <w:sz w:val="21"/>
                <w:szCs w:val="21"/>
              </w:rPr>
            </w:pPr>
            <w:r>
              <w:rPr>
                <w:rFonts w:hint="eastAsia"/>
                <w:sz w:val="24"/>
              </w:rPr>
              <w:t>以新发展理念引领高质量发展</w:t>
            </w:r>
            <w:r>
              <w:rPr>
                <w:rFonts w:hint="eastAsia" w:ascii="宋体" w:hAnsi="宋体" w:cs="宋体"/>
                <w:szCs w:val="21"/>
              </w:rPr>
              <w:t> </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ordWrap w:val="0"/>
              <w:spacing w:line="315" w:lineRule="atLeast"/>
              <w:jc w:val="both"/>
              <w:rPr>
                <w:rFonts w:ascii="Calibri" w:hAnsi="Calibri" w:cs="Calibri"/>
                <w:kern w:val="2"/>
                <w:sz w:val="21"/>
                <w:szCs w:val="21"/>
              </w:rPr>
            </w:pPr>
            <w:r>
              <w:rPr>
                <w:rFonts w:hint="eastAsia"/>
                <w:sz w:val="24"/>
              </w:rPr>
              <w:t>明确我国经济发展的历史方位、指导原则和路径选择；理解高质量发展是全面建设社会主义现代化国家的首要任务；掌握我国经济发展的制度基础。</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Fonts w:hint="eastAsia" w:ascii="宋体" w:hAnsi="宋体" w:cs="宋体"/>
                <w:szCs w:val="21"/>
              </w:rPr>
              <w:t> </w:t>
            </w:r>
          </w:p>
          <w:p>
            <w:pPr>
              <w:spacing w:line="315" w:lineRule="atLeast"/>
              <w:jc w:val="center"/>
              <w:rPr>
                <w:rFonts w:ascii="Calibri" w:hAnsi="Calibri" w:cs="Calibri"/>
                <w:kern w:val="2"/>
                <w:sz w:val="21"/>
                <w:szCs w:val="21"/>
              </w:rPr>
            </w:pPr>
            <w:r>
              <w:rPr>
                <w:rFonts w:hint="eastAsia" w:ascii="宋体" w:hAnsi="宋体" w:cs="宋体"/>
                <w:szCs w:val="21"/>
              </w:rPr>
              <w:t>3</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7</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第七讲</w:t>
            </w:r>
          </w:p>
          <w:p>
            <w:pPr>
              <w:spacing w:line="315" w:lineRule="atLeast"/>
              <w:jc w:val="both"/>
              <w:rPr>
                <w:rFonts w:ascii="Calibri" w:hAnsi="Calibri" w:cs="Calibri"/>
                <w:kern w:val="2"/>
                <w:sz w:val="21"/>
                <w:szCs w:val="21"/>
              </w:rPr>
            </w:pPr>
            <w:r>
              <w:rPr>
                <w:rFonts w:hint="eastAsia"/>
                <w:sz w:val="24"/>
              </w:rPr>
              <w:t>社会主义现代化建设的教育、科技和人才战略</w:t>
            </w:r>
            <w:r>
              <w:rPr>
                <w:rFonts w:hint="eastAsia" w:ascii="宋体" w:hAnsi="宋体" w:cs="宋体"/>
                <w:color w:val="000000"/>
                <w:szCs w:val="21"/>
              </w:rPr>
              <w:t> </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cs="Calibri"/>
                <w:szCs w:val="21"/>
              </w:rPr>
            </w:pPr>
            <w:r>
              <w:rPr>
                <w:rFonts w:hint="eastAsia"/>
                <w:sz w:val="24"/>
              </w:rPr>
              <w:t>明确新时代科教兴国战略的重大意义；把握怎样加快建设教育强国和建设科技强国；了解怎样深入实施新时代人才强国战略。</w:t>
            </w:r>
            <w:r>
              <w:rPr>
                <w:rFonts w:hint="eastAsia" w:ascii="宋体" w:hAnsi="宋体" w:cs="宋体"/>
                <w:color w:val="000000"/>
                <w:szCs w:val="21"/>
              </w:rPr>
              <w:t> </w:t>
            </w:r>
          </w:p>
          <w:p>
            <w:pPr>
              <w:spacing w:line="315" w:lineRule="atLeast"/>
              <w:rPr>
                <w:rFonts w:cs="Calibri"/>
                <w:szCs w:val="21"/>
              </w:rPr>
            </w:pP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2</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8</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第八讲</w:t>
            </w:r>
          </w:p>
          <w:p>
            <w:pPr>
              <w:jc w:val="center"/>
              <w:rPr>
                <w:sz w:val="24"/>
              </w:rPr>
            </w:pPr>
            <w:r>
              <w:rPr>
                <w:rFonts w:hint="eastAsia"/>
                <w:sz w:val="24"/>
              </w:rPr>
              <w:t>发展全过程人民民主</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sz w:val="24"/>
              </w:rPr>
            </w:pPr>
            <w:r>
              <w:rPr>
                <w:rFonts w:hint="eastAsia"/>
                <w:sz w:val="24"/>
              </w:rPr>
              <w:t>了解全过程人民民主的内涵；明确全过程人民民主的优势；掌握进一步发展全过程人民民主的制度安排。</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3</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9  </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第九讲</w:t>
            </w:r>
          </w:p>
          <w:p>
            <w:pPr>
              <w:jc w:val="center"/>
              <w:rPr>
                <w:sz w:val="24"/>
              </w:rPr>
            </w:pPr>
            <w:r>
              <w:rPr>
                <w:rFonts w:hint="eastAsia"/>
                <w:sz w:val="24"/>
              </w:rPr>
              <w:t>全面依法治国</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rPr>
                <w:sz w:val="24"/>
              </w:rPr>
            </w:pPr>
            <w:r>
              <w:rPr>
                <w:rFonts w:hint="eastAsia"/>
                <w:sz w:val="24"/>
              </w:rPr>
              <w:t>了解全面推进依法治国和走中国特色社会主义法治道路的原因；理解全面依法治国的总目标；掌握建设法治中国的路径举措。</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3</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10  </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第十讲</w:t>
            </w:r>
          </w:p>
          <w:p>
            <w:pPr>
              <w:jc w:val="center"/>
              <w:rPr>
                <w:sz w:val="24"/>
              </w:rPr>
            </w:pPr>
            <w:r>
              <w:rPr>
                <w:rFonts w:hint="eastAsia"/>
                <w:sz w:val="24"/>
              </w:rPr>
              <w:t>建设社会主义文化强国</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rPr>
                <w:sz w:val="24"/>
              </w:rPr>
            </w:pPr>
            <w:r>
              <w:rPr>
                <w:rFonts w:hint="eastAsia"/>
                <w:sz w:val="24"/>
              </w:rPr>
              <w:t>明确为什么要建设中国特色社会主义文化；为什么要坚持马克思主义在意识形态领域指导地位的根本制度以及为什么要用社会主义核心价值观凝心聚力；掌握如何提升国家文化软实力和中华文化影响力。</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3</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 11  </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第十一讲</w:t>
            </w:r>
          </w:p>
          <w:p>
            <w:pPr>
              <w:jc w:val="center"/>
              <w:rPr>
                <w:sz w:val="24"/>
              </w:rPr>
            </w:pPr>
            <w:r>
              <w:rPr>
                <w:rFonts w:hint="eastAsia"/>
                <w:sz w:val="24"/>
              </w:rPr>
              <w:t>加强以民生为重点的社会建设</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rPr>
                <w:sz w:val="24"/>
              </w:rPr>
            </w:pPr>
            <w:r>
              <w:rPr>
                <w:rFonts w:hint="eastAsia"/>
                <w:sz w:val="24"/>
              </w:rPr>
              <w:t>明确民生的重要性；了解如何在发展中保障和改善民生；掌握如何推进社会治理现代化，建设人人有责、人人尽责、人人享有的社会治理共同体。</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2</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12  </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实践教学</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学生讲思政课</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2</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 13 </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第十二讲</w:t>
            </w:r>
          </w:p>
          <w:p>
            <w:pPr>
              <w:jc w:val="center"/>
              <w:rPr>
                <w:sz w:val="24"/>
              </w:rPr>
            </w:pPr>
            <w:r>
              <w:rPr>
                <w:rFonts w:hint="eastAsia"/>
                <w:sz w:val="24"/>
              </w:rPr>
              <w:t>建设社会主义生态文明</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rPr>
                <w:sz w:val="24"/>
              </w:rPr>
            </w:pPr>
            <w:r>
              <w:rPr>
                <w:rFonts w:hint="eastAsia"/>
                <w:sz w:val="24"/>
              </w:rPr>
              <w:t>了解建设生态文明的原因；掌握社会主义的生态文明观；明确怎样建设美丽中国，推进绿色发展、循环发展和低碳发展。</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2</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 14</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第十三讲</w:t>
            </w:r>
          </w:p>
          <w:p>
            <w:pPr>
              <w:jc w:val="center"/>
              <w:rPr>
                <w:sz w:val="24"/>
              </w:rPr>
            </w:pPr>
            <w:r>
              <w:rPr>
                <w:rFonts w:hint="eastAsia"/>
                <w:sz w:val="24"/>
              </w:rPr>
              <w:t>全面贯彻落实总体国家安全观</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rPr>
                <w:sz w:val="24"/>
              </w:rPr>
            </w:pPr>
            <w:r>
              <w:rPr>
                <w:rFonts w:hint="eastAsia"/>
                <w:sz w:val="24"/>
              </w:rPr>
              <w:t>了解保证国家安全的重大意义；掌握总体国家安全观的基本内涵；明确新时代维护国家安全的实践要求，推进国家安全体系和能力现代化。</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2</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15 </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第十四讲</w:t>
            </w:r>
          </w:p>
          <w:p>
            <w:pPr>
              <w:jc w:val="center"/>
              <w:rPr>
                <w:sz w:val="24"/>
              </w:rPr>
            </w:pPr>
            <w:r>
              <w:rPr>
                <w:rFonts w:hint="eastAsia"/>
                <w:sz w:val="24"/>
              </w:rPr>
              <w:t>建设巩固国防和加强人民军队</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rPr>
                <w:sz w:val="24"/>
              </w:rPr>
            </w:pPr>
            <w:r>
              <w:rPr>
                <w:rFonts w:hint="eastAsia"/>
                <w:sz w:val="24"/>
              </w:rPr>
              <w:t>了解为什么要建设一支强大人民军队以及怎样建设巩固国防和强大人民军队；学习人民军队怎样捍卫国家主权、安全和发展利益。</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2</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16 </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第十五讲坚持“一国两制”和推动祖国统一</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rPr>
                <w:sz w:val="24"/>
              </w:rPr>
            </w:pPr>
            <w:r>
              <w:rPr>
                <w:rFonts w:hint="eastAsia"/>
                <w:sz w:val="24"/>
              </w:rPr>
              <w:t>了解如何坚持“一国两制” ；明确“一国两制” 行得通、办得到、得人心的原因；</w:t>
            </w:r>
          </w:p>
          <w:p>
            <w:pPr>
              <w:rPr>
                <w:sz w:val="24"/>
              </w:rPr>
            </w:pPr>
            <w:r>
              <w:rPr>
                <w:rFonts w:hint="eastAsia"/>
                <w:sz w:val="24"/>
              </w:rPr>
              <w:t>明确推进祖国完全统一的时和势始终在我们这一边。</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2</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 17 </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第十六讲</w:t>
            </w:r>
          </w:p>
          <w:p>
            <w:pPr>
              <w:jc w:val="center"/>
              <w:rPr>
                <w:sz w:val="24"/>
              </w:rPr>
            </w:pPr>
            <w:r>
              <w:rPr>
                <w:rFonts w:hint="eastAsia"/>
                <w:sz w:val="24"/>
              </w:rPr>
              <w:t>推动构建人类命运共同体</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rPr>
                <w:sz w:val="24"/>
              </w:rPr>
            </w:pPr>
            <w:r>
              <w:rPr>
                <w:rFonts w:hint="eastAsia"/>
                <w:sz w:val="24"/>
              </w:rPr>
              <w:t>了解世界形势的重大变革、国际力量对比的深刻改变以及国际体系和国际秩序的深度调整：明确构建人类命运共同体的中国方案；理解构建人类命运共同体的中国担当。</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ind w:firstLine="360" w:firstLineChars="150"/>
              <w:rPr>
                <w:sz w:val="24"/>
              </w:rPr>
            </w:pPr>
            <w:r>
              <w:rPr>
                <w:rFonts w:hint="eastAsia"/>
                <w:sz w:val="24"/>
              </w:rPr>
              <w:t>2</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 18</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第十七讲</w:t>
            </w:r>
          </w:p>
          <w:p>
            <w:pPr>
              <w:jc w:val="center"/>
              <w:rPr>
                <w:sz w:val="24"/>
              </w:rPr>
            </w:pPr>
            <w:r>
              <w:rPr>
                <w:rFonts w:hint="eastAsia"/>
                <w:sz w:val="24"/>
              </w:rPr>
              <w:t>坚持全面从严治党</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rPr>
                <w:sz w:val="24"/>
              </w:rPr>
            </w:pPr>
            <w:r>
              <w:rPr>
                <w:rFonts w:hint="eastAsia"/>
                <w:sz w:val="24"/>
              </w:rPr>
              <w:t>明确全面从严治党的重大意义；了解十八大以来管党治党宽松软状况得到根本扭转的主要原因；深刻理解跳出历史周期率的第二个答案——全面从严治党这场伟大自我革命。</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ind w:firstLine="360" w:firstLineChars="150"/>
              <w:rPr>
                <w:sz w:val="24"/>
              </w:rPr>
            </w:pPr>
            <w:r>
              <w:rPr>
                <w:rFonts w:hint="eastAsia"/>
                <w:sz w:val="24"/>
              </w:rPr>
              <w:t>3</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 xml:space="preserve"> 19 </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实践教学</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ind w:firstLine="480" w:firstLineChars="200"/>
              <w:rPr>
                <w:sz w:val="24"/>
              </w:rPr>
            </w:pPr>
            <w:r>
              <w:rPr>
                <w:rFonts w:hint="eastAsia"/>
                <w:sz w:val="24"/>
              </w:rPr>
              <w:t>校外乡村振兴实践教学基地实践活动</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ind w:firstLine="360" w:firstLineChars="150"/>
              <w:rPr>
                <w:sz w:val="24"/>
              </w:rPr>
            </w:pPr>
            <w:r>
              <w:rPr>
                <w:rFonts w:hint="eastAsia"/>
                <w:sz w:val="24"/>
              </w:rPr>
              <w:t>2</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rPr>
                <w:sz w:val="24"/>
              </w:rPr>
            </w:pP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ind w:firstLine="360" w:firstLineChars="150"/>
              <w:rPr>
                <w:sz w:val="24"/>
              </w:rPr>
            </w:pP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60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 </w:t>
            </w:r>
          </w:p>
        </w:tc>
        <w:tc>
          <w:tcPr>
            <w:tcW w:w="10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color w:val="000000"/>
                <w:szCs w:val="21"/>
              </w:rPr>
              <w:t>形成性考核与终结性考核。</w:t>
            </w:r>
          </w:p>
        </w:tc>
        <w:tc>
          <w:tcPr>
            <w:tcW w:w="325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color w:val="000000"/>
                <w:szCs w:val="21"/>
              </w:rPr>
              <w:t>习近平新时代中国特色社会主义思想概论</w:t>
            </w:r>
          </w:p>
        </w:tc>
        <w:tc>
          <w:tcPr>
            <w:tcW w:w="3744" w:type="dxa"/>
            <w:gridSpan w:val="3"/>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line="315" w:lineRule="atLeast"/>
              <w:rPr>
                <w:rFonts w:ascii="Calibri" w:hAnsi="Calibri" w:eastAsia="宋体" w:cs="Calibri"/>
                <w:szCs w:val="21"/>
              </w:rPr>
            </w:pPr>
            <w:r>
              <w:rPr>
                <w:rFonts w:hint="eastAsia" w:ascii="宋体" w:hAnsi="宋体" w:cs="宋体"/>
                <w:color w:val="000000"/>
                <w:szCs w:val="21"/>
              </w:rPr>
              <w:t>1.平时成绩：考勤、作业、课堂互动、实践教学环节参与度等等；</w:t>
            </w:r>
          </w:p>
          <w:p>
            <w:pPr>
              <w:spacing w:line="315" w:lineRule="atLeast"/>
              <w:jc w:val="both"/>
              <w:rPr>
                <w:rFonts w:ascii="Calibri" w:hAnsi="Calibri" w:cs="Calibri"/>
                <w:kern w:val="2"/>
                <w:sz w:val="21"/>
                <w:szCs w:val="21"/>
              </w:rPr>
            </w:pPr>
            <w:r>
              <w:rPr>
                <w:rFonts w:hint="eastAsia" w:ascii="宋体" w:hAnsi="宋体" w:cs="宋体"/>
                <w:color w:val="000000"/>
                <w:szCs w:val="21"/>
              </w:rPr>
              <w:t>2.期末论文</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jc w:val="center"/>
        </w:trPr>
        <w:tc>
          <w:tcPr>
            <w:tcW w:w="1698"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84" w:lineRule="atLeast"/>
              <w:jc w:val="center"/>
              <w:rPr>
                <w:rFonts w:ascii="Calibri" w:hAnsi="Calibri" w:cs="Calibri"/>
                <w:kern w:val="2"/>
                <w:sz w:val="21"/>
                <w:szCs w:val="21"/>
              </w:rPr>
            </w:pPr>
            <w:r>
              <w:rPr>
                <w:rFonts w:hint="eastAsia" w:ascii="宋体" w:hAnsi="宋体" w:cs="宋体"/>
                <w:sz w:val="24"/>
              </w:rPr>
              <w:t>合计</w:t>
            </w:r>
          </w:p>
        </w:tc>
        <w:tc>
          <w:tcPr>
            <w:tcW w:w="5527"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84" w:lineRule="atLeast"/>
              <w:jc w:val="center"/>
              <w:rPr>
                <w:rFonts w:ascii="Calibri" w:hAnsi="Calibri" w:cs="Calibri"/>
                <w:kern w:val="2"/>
                <w:sz w:val="21"/>
                <w:szCs w:val="21"/>
              </w:rPr>
            </w:pPr>
            <w:r>
              <w:rPr>
                <w:rStyle w:val="8"/>
                <w:rFonts w:hint="eastAsia" w:ascii="宋体" w:hAnsi="宋体" w:cs="宋体"/>
                <w:bCs/>
                <w:sz w:val="24"/>
              </w:rPr>
              <w:t>48</w:t>
            </w:r>
          </w:p>
        </w:tc>
        <w:tc>
          <w:tcPr>
            <w:tcW w:w="71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84" w:lineRule="atLeast"/>
              <w:jc w:val="center"/>
              <w:rPr>
                <w:rFonts w:ascii="Calibri" w:hAnsi="Calibri" w:cs="Calibri"/>
                <w:kern w:val="2"/>
                <w:sz w:val="21"/>
                <w:szCs w:val="21"/>
              </w:rPr>
            </w:pPr>
            <w:r>
              <w:rPr>
                <w:rFonts w:hint="eastAsia" w:ascii="宋体" w:hAnsi="宋体" w:cs="宋体"/>
                <w:sz w:val="24"/>
              </w:rPr>
              <w:t>44</w:t>
            </w:r>
          </w:p>
        </w:tc>
        <w:tc>
          <w:tcPr>
            <w:tcW w:w="75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84" w:lineRule="atLeast"/>
              <w:jc w:val="center"/>
              <w:rPr>
                <w:rFonts w:ascii="Calibri" w:hAnsi="Calibri" w:cs="Calibri"/>
                <w:kern w:val="2"/>
                <w:sz w:val="21"/>
                <w:szCs w:val="21"/>
              </w:rPr>
            </w:pPr>
            <w:r>
              <w:rPr>
                <w:rFonts w:hint="eastAsia" w:ascii="宋体" w:hAnsi="宋体" w:cs="宋体"/>
                <w:sz w:val="24"/>
              </w:rPr>
              <w:t>4</w:t>
            </w:r>
          </w:p>
        </w:tc>
      </w:tr>
    </w:tbl>
    <w:p>
      <w:pPr>
        <w:spacing w:line="360" w:lineRule="atLeast"/>
        <w:ind w:firstLine="420"/>
        <w:jc w:val="center"/>
        <w:rPr>
          <w:rFonts w:ascii="Calibri" w:hAnsi="Calibri" w:cs="Calibri"/>
          <w:kern w:val="2"/>
          <w:sz w:val="21"/>
          <w:szCs w:val="21"/>
        </w:rPr>
      </w:pPr>
      <w:r>
        <w:rPr>
          <w:rFonts w:hint="eastAsia" w:ascii="宋体" w:hAnsi="宋体" w:cs="宋体"/>
          <w:color w:val="444444"/>
          <w:szCs w:val="21"/>
          <w:shd w:val="clear" w:color="auto" w:fill="FFFFFF"/>
        </w:rPr>
        <w:t>  </w:t>
      </w:r>
    </w:p>
    <w:p>
      <w:pPr>
        <w:spacing w:line="360" w:lineRule="atLeast"/>
        <w:ind w:firstLine="2750" w:firstLineChars="1250"/>
        <w:rPr>
          <w:rFonts w:cs="Calibri"/>
          <w:szCs w:val="21"/>
        </w:rPr>
      </w:pPr>
      <w:r>
        <w:rPr>
          <w:rFonts w:hint="eastAsia" w:ascii="宋体" w:hAnsi="宋体" w:cs="宋体"/>
          <w:color w:val="444444"/>
          <w:szCs w:val="21"/>
          <w:shd w:val="clear" w:color="auto" w:fill="FFFFFF"/>
        </w:rPr>
        <w:t>表3   课程教学安排</w:t>
      </w:r>
    </w:p>
    <w:tbl>
      <w:tblPr>
        <w:tblStyle w:val="6"/>
        <w:tblW w:w="8587"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652"/>
        <w:gridCol w:w="1299"/>
        <w:gridCol w:w="1199"/>
        <w:gridCol w:w="4769"/>
        <w:gridCol w:w="668"/>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序号</w:t>
            </w:r>
          </w:p>
        </w:tc>
        <w:tc>
          <w:tcPr>
            <w:tcW w:w="129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项目（模块）</w:t>
            </w:r>
          </w:p>
        </w:tc>
        <w:tc>
          <w:tcPr>
            <w:tcW w:w="119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教学内容</w:t>
            </w:r>
          </w:p>
        </w:tc>
        <w:tc>
          <w:tcPr>
            <w:tcW w:w="476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重点、难点、考核点</w:t>
            </w:r>
          </w:p>
        </w:tc>
        <w:tc>
          <w:tcPr>
            <w:tcW w:w="6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学时</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1</w:t>
            </w:r>
          </w:p>
        </w:tc>
        <w:tc>
          <w:tcPr>
            <w:tcW w:w="1299"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ind w:firstLine="220" w:firstLineChars="100"/>
              <w:rPr>
                <w:rFonts w:ascii="宋体" w:hAnsi="宋体" w:cs="宋体"/>
                <w:szCs w:val="21"/>
              </w:rPr>
            </w:pPr>
            <w:r>
              <w:rPr>
                <w:rFonts w:hint="eastAsia" w:ascii="宋体" w:hAnsi="宋体" w:cs="宋体"/>
                <w:szCs w:val="21"/>
              </w:rPr>
              <w:t>项目一</w:t>
            </w:r>
          </w:p>
          <w:p>
            <w:pPr>
              <w:spacing w:line="315" w:lineRule="atLeast"/>
              <w:jc w:val="center"/>
              <w:rPr>
                <w:rFonts w:cs="Calibri"/>
                <w:szCs w:val="21"/>
              </w:rPr>
            </w:pPr>
            <w:r>
              <w:rPr>
                <w:rFonts w:hint="eastAsia" w:ascii="宋体" w:hAnsi="宋体" w:cs="宋体"/>
                <w:color w:val="000000"/>
                <w:szCs w:val="21"/>
              </w:rPr>
              <w:t>习近平新时代中国特色社会主义思想</w:t>
            </w:r>
          </w:p>
          <w:p>
            <w:pPr>
              <w:spacing w:line="315" w:lineRule="atLeast"/>
              <w:jc w:val="both"/>
              <w:rPr>
                <w:rFonts w:ascii="Calibri" w:hAnsi="Calibri" w:cs="Calibri"/>
                <w:kern w:val="2"/>
                <w:sz w:val="21"/>
                <w:szCs w:val="21"/>
              </w:rPr>
            </w:pPr>
            <w:r>
              <w:rPr>
                <w:rFonts w:hint="eastAsia" w:ascii="宋体" w:hAnsi="宋体" w:cs="宋体"/>
                <w:szCs w:val="21"/>
              </w:rPr>
              <w:t> </w:t>
            </w: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第一讲</w:t>
            </w:r>
          </w:p>
          <w:p>
            <w:pPr>
              <w:spacing w:line="315" w:lineRule="atLeast"/>
              <w:jc w:val="both"/>
              <w:rPr>
                <w:rFonts w:ascii="Calibri" w:hAnsi="Calibri" w:cs="Calibri"/>
                <w:kern w:val="2"/>
                <w:sz w:val="21"/>
                <w:szCs w:val="21"/>
              </w:rPr>
            </w:pPr>
            <w:r>
              <w:rPr>
                <w:rFonts w:hint="eastAsia"/>
                <w:sz w:val="24"/>
              </w:rPr>
              <w:t>马克思主义中国化时代化新的飞跃</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1.习近平新时代中国特色社会主义思想创立的时代背景、历史方位、实践基础和根本途径</w:t>
            </w:r>
          </w:p>
          <w:p>
            <w:pPr>
              <w:spacing w:line="315" w:lineRule="atLeast"/>
              <w:rPr>
                <w:rFonts w:cs="Calibri"/>
                <w:szCs w:val="21"/>
              </w:rPr>
            </w:pPr>
            <w:r>
              <w:rPr>
                <w:rFonts w:hint="eastAsia"/>
                <w:sz w:val="24"/>
              </w:rPr>
              <w:t>2.习近平新时代中国特色社会主义思想回答的重大时代课题</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jc w:val="both"/>
              <w:rPr>
                <w:sz w:val="24"/>
              </w:rPr>
            </w:pPr>
            <w:r>
              <w:rPr>
                <w:rFonts w:hint="eastAsia"/>
                <w:sz w:val="24"/>
              </w:rPr>
              <w:t>1，如何把握习近平新时代中国特色社会主义思想的世界观和方法论,</w:t>
            </w:r>
          </w:p>
          <w:p>
            <w:pPr>
              <w:spacing w:line="315" w:lineRule="atLeast"/>
              <w:jc w:val="both"/>
              <w:rPr>
                <w:sz w:val="24"/>
              </w:rPr>
            </w:pPr>
            <w:r>
              <w:rPr>
                <w:rFonts w:hint="eastAsia"/>
                <w:sz w:val="24"/>
              </w:rPr>
              <w:t>2，如何理解习近平新时代中国特色社会主义思想的历史地位</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3</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2</w:t>
            </w:r>
          </w:p>
        </w:tc>
        <w:tc>
          <w:tcPr>
            <w:tcW w:w="0" w:type="auto"/>
            <w:vMerge w:val="continue"/>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第二讲</w:t>
            </w:r>
          </w:p>
          <w:p>
            <w:pPr>
              <w:spacing w:line="315" w:lineRule="atLeast"/>
              <w:jc w:val="both"/>
              <w:rPr>
                <w:rFonts w:ascii="Calibri" w:hAnsi="Calibri" w:cs="Calibri"/>
                <w:kern w:val="2"/>
                <w:sz w:val="21"/>
                <w:szCs w:val="21"/>
              </w:rPr>
            </w:pPr>
            <w:r>
              <w:rPr>
                <w:rFonts w:hint="eastAsia"/>
                <w:sz w:val="24"/>
              </w:rPr>
              <w:t>坚持和发展中国特色社会主义的总任务</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1，中国特色社会主义是实现中华民族伟大复兴的必由之路,</w:t>
            </w:r>
          </w:p>
          <w:p>
            <w:pPr>
              <w:spacing w:line="315" w:lineRule="atLeast"/>
              <w:rPr>
                <w:sz w:val="24"/>
              </w:rPr>
            </w:pPr>
            <w:r>
              <w:rPr>
                <w:rFonts w:hint="eastAsia"/>
                <w:sz w:val="24"/>
              </w:rPr>
              <w:t>2.如何以中国式现代化全面推进中华民族的伟大复兴。</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sz w:val="24"/>
              </w:rPr>
            </w:pPr>
            <w:r>
              <w:rPr>
                <w:rFonts w:hint="eastAsia"/>
                <w:sz w:val="24"/>
              </w:rPr>
              <w:t>如何理解中国特色社会主义是实现中华民族伟大复兴的必由之路,</w:t>
            </w:r>
          </w:p>
          <w:p>
            <w:pPr>
              <w:spacing w:line="315" w:lineRule="atLeast"/>
              <w:jc w:val="both"/>
              <w:rPr>
                <w:rFonts w:ascii="Calibri" w:hAnsi="Calibri" w:cs="Calibri"/>
                <w:kern w:val="2"/>
                <w:sz w:val="21"/>
                <w:szCs w:val="21"/>
              </w:rPr>
            </w:pP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3</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3</w:t>
            </w:r>
          </w:p>
        </w:tc>
        <w:tc>
          <w:tcPr>
            <w:tcW w:w="0" w:type="auto"/>
            <w:vMerge w:val="continue"/>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第三讲</w:t>
            </w:r>
          </w:p>
          <w:p>
            <w:pPr>
              <w:spacing w:line="315" w:lineRule="atLeast"/>
              <w:jc w:val="both"/>
              <w:rPr>
                <w:rFonts w:ascii="Calibri" w:hAnsi="Calibri" w:cs="Calibri"/>
                <w:kern w:val="2"/>
                <w:sz w:val="21"/>
                <w:szCs w:val="21"/>
              </w:rPr>
            </w:pPr>
            <w:r>
              <w:rPr>
                <w:rFonts w:hint="eastAsia"/>
                <w:sz w:val="24"/>
              </w:rPr>
              <w:t>坚持党的全面领导</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明确为什么要坚持党的全面领导；怎样理解党的领导的全面性、系统性和整体性。</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jc w:val="both"/>
              <w:rPr>
                <w:rFonts w:ascii="Calibri" w:hAnsi="Calibri" w:cs="Calibri"/>
                <w:kern w:val="2"/>
                <w:sz w:val="21"/>
                <w:szCs w:val="21"/>
              </w:rPr>
            </w:pPr>
            <w:r>
              <w:rPr>
                <w:rFonts w:hint="eastAsia"/>
                <w:sz w:val="24"/>
              </w:rPr>
              <w:t>如何理解为什么要坚持党的全面领导</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3</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4</w:t>
            </w:r>
          </w:p>
        </w:tc>
        <w:tc>
          <w:tcPr>
            <w:tcW w:w="0" w:type="auto"/>
            <w:vMerge w:val="continue"/>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第四讲</w:t>
            </w:r>
          </w:p>
          <w:p>
            <w:pPr>
              <w:spacing w:line="315" w:lineRule="atLeast"/>
              <w:jc w:val="both"/>
              <w:rPr>
                <w:rFonts w:ascii="Calibri" w:hAnsi="Calibri" w:cs="Calibri"/>
                <w:kern w:val="2"/>
                <w:sz w:val="21"/>
                <w:szCs w:val="21"/>
              </w:rPr>
            </w:pPr>
            <w:r>
              <w:rPr>
                <w:rFonts w:hint="eastAsia"/>
                <w:sz w:val="24"/>
              </w:rPr>
              <w:t>坚持以人民为中心</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1.为什么必须坚持以人民为中心</w:t>
            </w:r>
          </w:p>
          <w:p>
            <w:pPr>
              <w:spacing w:line="315" w:lineRule="atLeast"/>
              <w:rPr>
                <w:sz w:val="24"/>
              </w:rPr>
            </w:pPr>
            <w:r>
              <w:rPr>
                <w:rFonts w:hint="eastAsia"/>
                <w:sz w:val="24"/>
              </w:rPr>
              <w:t>2.不断实现人民对美好生活的向往是党的奋</w:t>
            </w:r>
          </w:p>
          <w:p>
            <w:pPr>
              <w:spacing w:line="315" w:lineRule="atLeast"/>
              <w:rPr>
                <w:sz w:val="24"/>
              </w:rPr>
            </w:pPr>
            <w:r>
              <w:rPr>
                <w:rStyle w:val="8"/>
                <w:rFonts w:hint="eastAsia" w:ascii="宋体" w:hAnsi="宋体" w:cs="宋体"/>
                <w:bCs/>
                <w:color w:val="000000"/>
                <w:szCs w:val="21"/>
              </w:rPr>
              <w:t>教学难点：</w:t>
            </w:r>
          </w:p>
          <w:p>
            <w:pPr>
              <w:spacing w:line="315" w:lineRule="atLeast"/>
              <w:rPr>
                <w:rFonts w:ascii="Calibri" w:hAnsi="Calibri" w:cs="Calibri"/>
                <w:kern w:val="2"/>
                <w:sz w:val="21"/>
                <w:szCs w:val="21"/>
              </w:rPr>
            </w:pPr>
            <w:r>
              <w:rPr>
                <w:rFonts w:hint="eastAsia"/>
                <w:sz w:val="24"/>
              </w:rPr>
              <w:t>为什么必须坚持以人民为中心</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3</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5</w:t>
            </w:r>
          </w:p>
        </w:tc>
        <w:tc>
          <w:tcPr>
            <w:tcW w:w="0" w:type="auto"/>
            <w:vMerge w:val="continue"/>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第五讲</w:t>
            </w:r>
          </w:p>
          <w:p>
            <w:pPr>
              <w:spacing w:line="315" w:lineRule="atLeast"/>
              <w:jc w:val="both"/>
              <w:rPr>
                <w:rFonts w:ascii="Calibri" w:hAnsi="Calibri" w:cs="Calibri"/>
                <w:kern w:val="2"/>
                <w:sz w:val="21"/>
                <w:szCs w:val="21"/>
              </w:rPr>
            </w:pPr>
            <w:r>
              <w:rPr>
                <w:rFonts w:hint="eastAsia"/>
                <w:sz w:val="24"/>
              </w:rPr>
              <w:t>全面深化改革</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1.全面深化改革的原因</w:t>
            </w:r>
          </w:p>
          <w:p>
            <w:pPr>
              <w:spacing w:line="315" w:lineRule="atLeast"/>
              <w:rPr>
                <w:sz w:val="24"/>
              </w:rPr>
            </w:pPr>
            <w:r>
              <w:rPr>
                <w:rFonts w:hint="eastAsia"/>
                <w:sz w:val="24"/>
              </w:rPr>
              <w:t>2.明确推进全面深化改革的总目标</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rFonts w:ascii="Calibri" w:hAnsi="Calibri" w:cs="Calibri"/>
                <w:kern w:val="2"/>
                <w:sz w:val="21"/>
                <w:szCs w:val="21"/>
              </w:rPr>
            </w:pPr>
            <w:r>
              <w:rPr>
                <w:rFonts w:hint="eastAsia"/>
                <w:sz w:val="24"/>
              </w:rPr>
              <w:t>全面深化改革的方向、立场和原则</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3</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6</w:t>
            </w:r>
          </w:p>
        </w:tc>
        <w:tc>
          <w:tcPr>
            <w:tcW w:w="0" w:type="auto"/>
            <w:vMerge w:val="continue"/>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第六讲</w:t>
            </w:r>
          </w:p>
          <w:p>
            <w:pPr>
              <w:spacing w:line="315" w:lineRule="atLeast"/>
              <w:jc w:val="both"/>
              <w:rPr>
                <w:rFonts w:ascii="Calibri" w:hAnsi="Calibri" w:cs="Calibri"/>
                <w:kern w:val="2"/>
                <w:sz w:val="21"/>
                <w:szCs w:val="21"/>
              </w:rPr>
            </w:pPr>
            <w:r>
              <w:rPr>
                <w:rFonts w:hint="eastAsia"/>
                <w:sz w:val="24"/>
              </w:rPr>
              <w:t>以新发展理念引领高质量发展</w:t>
            </w:r>
            <w:r>
              <w:rPr>
                <w:rFonts w:hint="eastAsia" w:ascii="宋体" w:hAnsi="宋体" w:cs="宋体"/>
                <w:szCs w:val="21"/>
              </w:rPr>
              <w:t> </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我国经济发展的历史方位、指导原则和路径选择</w:t>
            </w:r>
          </w:p>
          <w:p>
            <w:pPr>
              <w:spacing w:line="315" w:lineRule="atLeast"/>
              <w:rPr>
                <w:rStyle w:val="8"/>
                <w:rFonts w:ascii="宋体" w:hAnsi="宋体" w:cs="宋体"/>
                <w:bCs/>
                <w:color w:val="000000"/>
                <w:szCs w:val="21"/>
              </w:rPr>
            </w:pPr>
            <w:r>
              <w:rPr>
                <w:rStyle w:val="8"/>
                <w:rFonts w:hint="eastAsia" w:ascii="宋体" w:hAnsi="宋体" w:cs="宋体"/>
                <w:bCs/>
                <w:color w:val="000000"/>
                <w:szCs w:val="21"/>
              </w:rPr>
              <w:t>教学难点：</w:t>
            </w:r>
          </w:p>
          <w:p>
            <w:pPr>
              <w:spacing w:line="315" w:lineRule="atLeast"/>
              <w:rPr>
                <w:rFonts w:cs="Calibri"/>
                <w:szCs w:val="21"/>
              </w:rPr>
            </w:pPr>
            <w:r>
              <w:rPr>
                <w:rFonts w:hint="eastAsia" w:cs="Calibri"/>
                <w:szCs w:val="21"/>
              </w:rPr>
              <w:t>如何理</w:t>
            </w:r>
            <w:r>
              <w:rPr>
                <w:rFonts w:hint="eastAsia"/>
                <w:sz w:val="24"/>
              </w:rPr>
              <w:t>解高质量发展是全面建设社会主义现代化国家的首要任务</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3</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Calibri" w:hAnsi="Calibri" w:cs="Calibri"/>
                <w:kern w:val="2"/>
                <w:sz w:val="21"/>
                <w:szCs w:val="21"/>
              </w:rPr>
            </w:pPr>
            <w:r>
              <w:rPr>
                <w:rFonts w:hint="eastAsia" w:ascii="宋体" w:hAnsi="宋体" w:cs="宋体"/>
                <w:szCs w:val="21"/>
              </w:rPr>
              <w:t>7</w:t>
            </w:r>
          </w:p>
        </w:tc>
        <w:tc>
          <w:tcPr>
            <w:tcW w:w="0" w:type="auto"/>
            <w:vMerge w:val="continue"/>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第七讲</w:t>
            </w:r>
          </w:p>
          <w:p>
            <w:pPr>
              <w:spacing w:line="315" w:lineRule="atLeast"/>
              <w:jc w:val="both"/>
              <w:rPr>
                <w:rFonts w:ascii="Calibri" w:hAnsi="Calibri" w:cs="Calibri"/>
                <w:kern w:val="2"/>
                <w:sz w:val="21"/>
                <w:szCs w:val="21"/>
              </w:rPr>
            </w:pPr>
            <w:r>
              <w:rPr>
                <w:rFonts w:hint="eastAsia"/>
                <w:sz w:val="24"/>
              </w:rPr>
              <w:t>社会主义现代化建设的教育、科技和人才战略</w:t>
            </w:r>
            <w:r>
              <w:rPr>
                <w:rFonts w:hint="eastAsia" w:ascii="宋体" w:hAnsi="宋体" w:cs="宋体"/>
                <w:szCs w:val="21"/>
              </w:rPr>
              <w:t> </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加快建设教育强国和建设科技强国</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jc w:val="both"/>
              <w:rPr>
                <w:rFonts w:ascii="Calibri" w:hAnsi="Calibri" w:cs="Calibri"/>
                <w:kern w:val="2"/>
                <w:sz w:val="21"/>
                <w:szCs w:val="21"/>
              </w:rPr>
            </w:pPr>
            <w:r>
              <w:rPr>
                <w:rFonts w:hint="eastAsia"/>
                <w:sz w:val="24"/>
              </w:rPr>
              <w:t>怎样深入实施新时代人才强国战略</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cs="Calibri"/>
                <w:kern w:val="2"/>
                <w:sz w:val="21"/>
                <w:szCs w:val="21"/>
              </w:rPr>
            </w:pPr>
            <w:r>
              <w:rPr>
                <w:rFonts w:hint="eastAsia" w:ascii="宋体" w:hAnsi="宋体" w:cs="宋体"/>
                <w:szCs w:val="21"/>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8</w:t>
            </w:r>
          </w:p>
        </w:tc>
        <w:tc>
          <w:tcPr>
            <w:tcW w:w="0" w:type="auto"/>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第八讲</w:t>
            </w:r>
          </w:p>
          <w:p>
            <w:pPr>
              <w:jc w:val="center"/>
              <w:rPr>
                <w:sz w:val="24"/>
              </w:rPr>
            </w:pPr>
            <w:r>
              <w:rPr>
                <w:rFonts w:hint="eastAsia"/>
                <w:sz w:val="24"/>
              </w:rPr>
              <w:t>发展全过程人民民主</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pStyle w:val="13"/>
              <w:numPr>
                <w:ilvl w:val="0"/>
                <w:numId w:val="1"/>
              </w:numPr>
              <w:spacing w:line="315" w:lineRule="atLeast"/>
              <w:ind w:firstLineChars="0"/>
              <w:rPr>
                <w:sz w:val="24"/>
              </w:rPr>
            </w:pPr>
            <w:r>
              <w:rPr>
                <w:rFonts w:hint="eastAsia"/>
                <w:sz w:val="24"/>
              </w:rPr>
              <w:t>全过程人民民主的内涵</w:t>
            </w:r>
          </w:p>
          <w:p>
            <w:pPr>
              <w:pStyle w:val="13"/>
              <w:numPr>
                <w:ilvl w:val="0"/>
                <w:numId w:val="1"/>
              </w:numPr>
              <w:spacing w:line="315" w:lineRule="atLeast"/>
              <w:ind w:firstLineChars="0"/>
              <w:rPr>
                <w:rFonts w:ascii="宋体" w:hAnsi="宋体" w:cs="宋体"/>
                <w:b/>
                <w:bCs/>
                <w:color w:val="000000"/>
                <w:szCs w:val="21"/>
              </w:rPr>
            </w:pPr>
            <w:r>
              <w:rPr>
                <w:rFonts w:hint="eastAsia"/>
                <w:sz w:val="24"/>
              </w:rPr>
              <w:t>明确全过程人民民主的优势</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rStyle w:val="8"/>
                <w:rFonts w:ascii="宋体" w:hAnsi="宋体" w:cs="宋体"/>
                <w:bCs/>
                <w:color w:val="000000"/>
                <w:szCs w:val="21"/>
              </w:rPr>
            </w:pPr>
            <w:r>
              <w:rPr>
                <w:rFonts w:hint="eastAsia"/>
                <w:sz w:val="24"/>
              </w:rPr>
              <w:t>为什么全过程人民民主才是真民主</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宋体"/>
                <w:szCs w:val="21"/>
              </w:rPr>
            </w:pPr>
            <w:r>
              <w:rPr>
                <w:rFonts w:hint="eastAsia" w:ascii="宋体" w:hAnsi="宋体" w:cs="宋体"/>
                <w:szCs w:val="21"/>
              </w:rPr>
              <w:t>3</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9</w:t>
            </w:r>
          </w:p>
        </w:tc>
        <w:tc>
          <w:tcPr>
            <w:tcW w:w="0" w:type="auto"/>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第九讲</w:t>
            </w:r>
          </w:p>
          <w:p>
            <w:pPr>
              <w:jc w:val="center"/>
              <w:rPr>
                <w:sz w:val="24"/>
              </w:rPr>
            </w:pPr>
            <w:r>
              <w:rPr>
                <w:rFonts w:hint="eastAsia"/>
                <w:sz w:val="24"/>
              </w:rPr>
              <w:t>全面依法治国</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pStyle w:val="13"/>
              <w:numPr>
                <w:ilvl w:val="0"/>
                <w:numId w:val="2"/>
              </w:numPr>
              <w:spacing w:line="315" w:lineRule="atLeast"/>
              <w:ind w:firstLineChars="0"/>
              <w:rPr>
                <w:sz w:val="24"/>
              </w:rPr>
            </w:pPr>
            <w:r>
              <w:rPr>
                <w:rFonts w:hint="eastAsia"/>
                <w:sz w:val="24"/>
              </w:rPr>
              <w:t>全面依法治国的总目标</w:t>
            </w:r>
          </w:p>
          <w:p>
            <w:pPr>
              <w:pStyle w:val="13"/>
              <w:numPr>
                <w:ilvl w:val="0"/>
                <w:numId w:val="2"/>
              </w:numPr>
              <w:spacing w:line="315" w:lineRule="atLeast"/>
              <w:ind w:firstLineChars="0"/>
              <w:rPr>
                <w:rFonts w:ascii="宋体" w:hAnsi="宋体" w:cs="宋体"/>
                <w:b/>
                <w:bCs/>
                <w:color w:val="000000"/>
                <w:szCs w:val="21"/>
              </w:rPr>
            </w:pPr>
            <w:r>
              <w:rPr>
                <w:rFonts w:hint="eastAsia"/>
                <w:sz w:val="24"/>
              </w:rPr>
              <w:t>掌握建设法治中国的路径举措</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rStyle w:val="8"/>
                <w:rFonts w:ascii="宋体" w:hAnsi="宋体" w:cs="宋体"/>
                <w:bCs/>
                <w:color w:val="000000"/>
                <w:szCs w:val="21"/>
              </w:rPr>
            </w:pPr>
            <w:r>
              <w:rPr>
                <w:rFonts w:hint="eastAsia"/>
                <w:sz w:val="24"/>
              </w:rPr>
              <w:t>如何理解走中国特色社会主义法治道路的原因</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宋体"/>
                <w:szCs w:val="21"/>
              </w:rPr>
            </w:pPr>
            <w:r>
              <w:rPr>
                <w:rFonts w:hint="eastAsia" w:ascii="宋体" w:hAnsi="宋体" w:cs="宋体"/>
                <w:szCs w:val="21"/>
              </w:rPr>
              <w:t>3</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10</w:t>
            </w:r>
          </w:p>
        </w:tc>
        <w:tc>
          <w:tcPr>
            <w:tcW w:w="0" w:type="auto"/>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第十讲</w:t>
            </w:r>
          </w:p>
          <w:p>
            <w:pPr>
              <w:jc w:val="center"/>
              <w:rPr>
                <w:sz w:val="24"/>
              </w:rPr>
            </w:pPr>
            <w:r>
              <w:rPr>
                <w:rFonts w:hint="eastAsia"/>
                <w:sz w:val="24"/>
              </w:rPr>
              <w:t>建设社会主义文化强国</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rPr>
                <w:sz w:val="24"/>
              </w:rPr>
            </w:pPr>
            <w:r>
              <w:rPr>
                <w:rFonts w:hint="eastAsia"/>
                <w:sz w:val="24"/>
              </w:rPr>
              <w:t>1.建设中国特色社会主义文化的原因</w:t>
            </w:r>
          </w:p>
          <w:p>
            <w:pPr>
              <w:rPr>
                <w:sz w:val="24"/>
              </w:rPr>
            </w:pPr>
            <w:r>
              <w:rPr>
                <w:rFonts w:hint="eastAsia"/>
                <w:sz w:val="24"/>
              </w:rPr>
              <w:t>2.社会主义核心价值观凝心聚力</w:t>
            </w:r>
          </w:p>
          <w:p>
            <w:pPr>
              <w:spacing w:line="315" w:lineRule="atLeast"/>
              <w:rPr>
                <w:rFonts w:cs="Calibri"/>
                <w:szCs w:val="21"/>
              </w:rPr>
            </w:pPr>
            <w:r>
              <w:rPr>
                <w:rStyle w:val="8"/>
                <w:rFonts w:hint="eastAsia" w:ascii="宋体" w:hAnsi="宋体" w:cs="宋体"/>
                <w:bCs/>
                <w:color w:val="000000"/>
                <w:szCs w:val="21"/>
              </w:rPr>
              <w:t>教学难点：</w:t>
            </w:r>
          </w:p>
          <w:p>
            <w:pPr>
              <w:rPr>
                <w:sz w:val="24"/>
              </w:rPr>
            </w:pPr>
            <w:r>
              <w:rPr>
                <w:rFonts w:hint="eastAsia"/>
                <w:sz w:val="24"/>
              </w:rPr>
              <w:t>为什么要坚持马克思主义在意识形态领域指导地位</w:t>
            </w:r>
          </w:p>
          <w:p>
            <w:pPr>
              <w:spacing w:line="315" w:lineRule="atLeast"/>
              <w:rPr>
                <w:rStyle w:val="8"/>
                <w:rFonts w:ascii="宋体" w:hAnsi="宋体" w:cs="宋体"/>
                <w:bCs/>
                <w:color w:val="000000"/>
                <w:szCs w:val="21"/>
              </w:rPr>
            </w:pP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宋体"/>
                <w:szCs w:val="21"/>
              </w:rPr>
            </w:pPr>
            <w:r>
              <w:rPr>
                <w:rFonts w:hint="eastAsia" w:ascii="宋体" w:hAnsi="宋体" w:cs="宋体"/>
                <w:szCs w:val="21"/>
              </w:rPr>
              <w:t>3</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11</w:t>
            </w:r>
          </w:p>
        </w:tc>
        <w:tc>
          <w:tcPr>
            <w:tcW w:w="0" w:type="auto"/>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第十一讲</w:t>
            </w:r>
          </w:p>
          <w:p>
            <w:pPr>
              <w:jc w:val="center"/>
              <w:rPr>
                <w:sz w:val="24"/>
              </w:rPr>
            </w:pPr>
            <w:r>
              <w:rPr>
                <w:rFonts w:hint="eastAsia"/>
                <w:sz w:val="24"/>
              </w:rPr>
              <w:t>加强以民生为重点的社会建设</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1.如何在发展中保障和改善民生,</w:t>
            </w:r>
          </w:p>
          <w:p>
            <w:pPr>
              <w:spacing w:line="315" w:lineRule="atLeast"/>
              <w:rPr>
                <w:sz w:val="24"/>
              </w:rPr>
            </w:pPr>
            <w:r>
              <w:rPr>
                <w:rFonts w:hint="eastAsia"/>
                <w:sz w:val="24"/>
              </w:rPr>
              <w:t>2.什么是新时代社会治理</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rStyle w:val="8"/>
                <w:rFonts w:ascii="宋体" w:hAnsi="宋体" w:cs="宋体"/>
                <w:bCs/>
                <w:color w:val="000000"/>
                <w:szCs w:val="21"/>
              </w:rPr>
            </w:pPr>
            <w:r>
              <w:rPr>
                <w:rFonts w:hint="eastAsia"/>
                <w:sz w:val="24"/>
              </w:rPr>
              <w:t>发展在改善和保障民生中的重要性</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宋体"/>
                <w:szCs w:val="21"/>
              </w:rPr>
            </w:pPr>
            <w:r>
              <w:rPr>
                <w:rFonts w:hint="eastAsia" w:ascii="宋体" w:hAnsi="宋体" w:cs="宋体"/>
                <w:szCs w:val="21"/>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12</w:t>
            </w:r>
          </w:p>
        </w:tc>
        <w:tc>
          <w:tcPr>
            <w:tcW w:w="0" w:type="auto"/>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第十二讲</w:t>
            </w:r>
          </w:p>
          <w:p>
            <w:pPr>
              <w:jc w:val="center"/>
              <w:rPr>
                <w:sz w:val="24"/>
              </w:rPr>
            </w:pPr>
            <w:r>
              <w:rPr>
                <w:rFonts w:hint="eastAsia"/>
                <w:sz w:val="24"/>
              </w:rPr>
              <w:t>建设社会主义生态文明</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掌握社会主义的生态文明观</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rStyle w:val="8"/>
                <w:rFonts w:ascii="宋体" w:hAnsi="宋体" w:cs="宋体"/>
                <w:bCs/>
                <w:color w:val="000000"/>
                <w:szCs w:val="21"/>
              </w:rPr>
            </w:pPr>
            <w:r>
              <w:rPr>
                <w:rFonts w:hint="eastAsia"/>
                <w:sz w:val="24"/>
              </w:rPr>
              <w:t>如何理解绿色发展、循环发展和低碳发展</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宋体"/>
                <w:szCs w:val="21"/>
              </w:rPr>
            </w:pPr>
            <w:r>
              <w:rPr>
                <w:rFonts w:hint="eastAsia" w:ascii="宋体" w:hAnsi="宋体" w:cs="宋体"/>
                <w:szCs w:val="21"/>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13</w:t>
            </w:r>
          </w:p>
        </w:tc>
        <w:tc>
          <w:tcPr>
            <w:tcW w:w="0" w:type="auto"/>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第十三讲</w:t>
            </w:r>
          </w:p>
          <w:p>
            <w:pPr>
              <w:jc w:val="center"/>
              <w:rPr>
                <w:sz w:val="24"/>
              </w:rPr>
            </w:pPr>
            <w:r>
              <w:rPr>
                <w:rFonts w:hint="eastAsia"/>
                <w:sz w:val="24"/>
              </w:rPr>
              <w:t>全面贯彻落实总体国家安全观</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1.总体国家安全观的基本内涵</w:t>
            </w:r>
          </w:p>
          <w:p>
            <w:pPr>
              <w:spacing w:line="315" w:lineRule="atLeast"/>
              <w:rPr>
                <w:sz w:val="24"/>
              </w:rPr>
            </w:pPr>
            <w:r>
              <w:rPr>
                <w:rFonts w:hint="eastAsia"/>
                <w:sz w:val="24"/>
              </w:rPr>
              <w:t>2.推进国家安全体系和能力现代化。</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rStyle w:val="8"/>
                <w:rFonts w:ascii="宋体" w:hAnsi="宋体" w:cs="宋体"/>
                <w:bCs/>
                <w:color w:val="000000"/>
                <w:szCs w:val="21"/>
              </w:rPr>
            </w:pPr>
            <w:r>
              <w:rPr>
                <w:rFonts w:hint="eastAsia"/>
                <w:sz w:val="24"/>
              </w:rPr>
              <w:t>新时代如何维护国家安全</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宋体"/>
                <w:szCs w:val="21"/>
              </w:rPr>
            </w:pPr>
            <w:r>
              <w:rPr>
                <w:rFonts w:hint="eastAsia" w:ascii="宋体" w:hAnsi="宋体" w:cs="宋体"/>
                <w:szCs w:val="21"/>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14</w:t>
            </w:r>
          </w:p>
        </w:tc>
        <w:tc>
          <w:tcPr>
            <w:tcW w:w="0" w:type="auto"/>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第十四讲</w:t>
            </w:r>
          </w:p>
          <w:p>
            <w:pPr>
              <w:jc w:val="center"/>
              <w:rPr>
                <w:sz w:val="24"/>
              </w:rPr>
            </w:pPr>
            <w:r>
              <w:rPr>
                <w:rFonts w:hint="eastAsia"/>
                <w:sz w:val="24"/>
              </w:rPr>
              <w:t>建设巩固国防和加强人民军队</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1.为什么要建设一支强大人民军队</w:t>
            </w:r>
          </w:p>
          <w:p>
            <w:pPr>
              <w:spacing w:line="315" w:lineRule="atLeast"/>
              <w:rPr>
                <w:sz w:val="24"/>
              </w:rPr>
            </w:pPr>
            <w:r>
              <w:rPr>
                <w:rFonts w:hint="eastAsia"/>
                <w:sz w:val="24"/>
              </w:rPr>
              <w:t>2.怎样建设巩固国防和强大人民军队</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rStyle w:val="8"/>
                <w:rFonts w:ascii="宋体" w:hAnsi="宋体" w:cs="宋体"/>
                <w:b w:val="0"/>
                <w:bCs/>
                <w:color w:val="000000"/>
                <w:szCs w:val="21"/>
              </w:rPr>
            </w:pPr>
            <w:r>
              <w:rPr>
                <w:rStyle w:val="8"/>
                <w:rFonts w:hint="eastAsia" w:ascii="宋体" w:hAnsi="宋体" w:cs="宋体"/>
                <w:b w:val="0"/>
                <w:bCs/>
                <w:color w:val="000000"/>
                <w:szCs w:val="21"/>
              </w:rPr>
              <w:t>如何全面推进国防和军队现代化</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宋体"/>
                <w:szCs w:val="21"/>
              </w:rPr>
            </w:pPr>
            <w:r>
              <w:rPr>
                <w:rFonts w:hint="eastAsia" w:ascii="宋体" w:hAnsi="宋体" w:cs="宋体"/>
                <w:szCs w:val="21"/>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15</w:t>
            </w:r>
          </w:p>
        </w:tc>
        <w:tc>
          <w:tcPr>
            <w:tcW w:w="0" w:type="auto"/>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第十五讲</w:t>
            </w:r>
          </w:p>
          <w:p>
            <w:pPr>
              <w:jc w:val="center"/>
              <w:rPr>
                <w:sz w:val="24"/>
              </w:rPr>
            </w:pPr>
            <w:r>
              <w:rPr>
                <w:rFonts w:hint="eastAsia"/>
                <w:sz w:val="24"/>
              </w:rPr>
              <w:t>坚持“一国两制”和推动祖国统一</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rFonts w:ascii="Calibri" w:hAnsi="Calibri" w:eastAsia="宋体" w:cs="Calibri"/>
                <w:szCs w:val="21"/>
              </w:rPr>
            </w:pPr>
            <w:r>
              <w:rPr>
                <w:rFonts w:hint="eastAsia"/>
                <w:sz w:val="24"/>
              </w:rPr>
              <w:t xml:space="preserve"> 1.“一国两制” 方针</w:t>
            </w:r>
          </w:p>
          <w:p>
            <w:pPr>
              <w:rPr>
                <w:sz w:val="24"/>
              </w:rPr>
            </w:pPr>
            <w:r>
              <w:rPr>
                <w:rFonts w:hint="eastAsia"/>
                <w:sz w:val="24"/>
              </w:rPr>
              <w:t>2.“一国两制” 制度体系</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sz w:val="24"/>
              </w:rPr>
            </w:pPr>
            <w:r>
              <w:rPr>
                <w:rFonts w:hint="eastAsia"/>
                <w:b/>
                <w:bCs/>
                <w:sz w:val="24"/>
              </w:rPr>
              <w:t xml:space="preserve"> </w:t>
            </w:r>
            <w:r>
              <w:rPr>
                <w:rFonts w:hint="eastAsia"/>
                <w:bCs/>
                <w:sz w:val="24"/>
              </w:rPr>
              <w:t>为什么说“一国两制”是保持港澳长期繁荣稳定的最佳制度</w:t>
            </w:r>
          </w:p>
          <w:p>
            <w:pPr>
              <w:spacing w:line="315" w:lineRule="atLeast"/>
              <w:rPr>
                <w:rStyle w:val="8"/>
                <w:rFonts w:ascii="宋体" w:hAnsi="宋体" w:cs="宋体"/>
                <w:bCs/>
                <w:color w:val="000000"/>
                <w:szCs w:val="21"/>
              </w:rPr>
            </w:pP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宋体"/>
                <w:szCs w:val="21"/>
              </w:rPr>
            </w:pPr>
            <w:r>
              <w:rPr>
                <w:rFonts w:hint="eastAsia" w:ascii="宋体" w:hAnsi="宋体" w:cs="宋体"/>
                <w:szCs w:val="21"/>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16</w:t>
            </w:r>
          </w:p>
        </w:tc>
        <w:tc>
          <w:tcPr>
            <w:tcW w:w="0" w:type="auto"/>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第十六讲</w:t>
            </w:r>
          </w:p>
          <w:p>
            <w:pPr>
              <w:jc w:val="center"/>
              <w:rPr>
                <w:sz w:val="24"/>
              </w:rPr>
            </w:pPr>
            <w:r>
              <w:rPr>
                <w:rFonts w:hint="eastAsia"/>
                <w:sz w:val="24"/>
              </w:rPr>
              <w:t>推动构建人类命运共同体</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1.世界形势的重大变革、国际力量对比的深刻改变以及国际体系和国际秩序的深度调整</w:t>
            </w:r>
          </w:p>
          <w:p>
            <w:pPr>
              <w:spacing w:line="315" w:lineRule="atLeast"/>
              <w:rPr>
                <w:sz w:val="24"/>
              </w:rPr>
            </w:pPr>
            <w:r>
              <w:rPr>
                <w:rFonts w:hint="eastAsia"/>
                <w:sz w:val="24"/>
              </w:rPr>
              <w:t>2.构建人类命运共同体的中国方案</w:t>
            </w:r>
          </w:p>
          <w:p>
            <w:pPr>
              <w:spacing w:line="315" w:lineRule="atLeast"/>
              <w:rPr>
                <w:sz w:val="24"/>
              </w:rPr>
            </w:pPr>
            <w:r>
              <w:rPr>
                <w:rFonts w:hint="eastAsia"/>
                <w:sz w:val="24"/>
              </w:rPr>
              <w:t>3.构建人类命运共同体的中国担当</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rStyle w:val="8"/>
                <w:b w:val="0"/>
                <w:sz w:val="24"/>
              </w:rPr>
            </w:pPr>
            <w:r>
              <w:rPr>
                <w:rStyle w:val="8"/>
                <w:rFonts w:hint="eastAsia"/>
                <w:b w:val="0"/>
                <w:sz w:val="24"/>
              </w:rPr>
              <w:t>如何理解中国在构建人类命运共同中展现出的主体品格</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宋体"/>
                <w:szCs w:val="21"/>
              </w:rPr>
            </w:pPr>
            <w:r>
              <w:rPr>
                <w:rFonts w:hint="eastAsia" w:ascii="宋体" w:hAnsi="宋体" w:cs="宋体"/>
                <w:szCs w:val="21"/>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center"/>
              <w:rPr>
                <w:rFonts w:ascii="宋体" w:hAnsi="宋体" w:cs="宋体"/>
                <w:szCs w:val="21"/>
              </w:rPr>
            </w:pPr>
            <w:r>
              <w:rPr>
                <w:rFonts w:hint="eastAsia" w:ascii="宋体" w:hAnsi="宋体" w:cs="宋体"/>
                <w:szCs w:val="21"/>
              </w:rPr>
              <w:t>17</w:t>
            </w:r>
          </w:p>
        </w:tc>
        <w:tc>
          <w:tcPr>
            <w:tcW w:w="0" w:type="auto"/>
            <w:tcBorders>
              <w:top w:val="nil"/>
              <w:left w:val="single" w:color="000000" w:sz="8" w:space="0"/>
              <w:bottom w:val="single" w:color="000000" w:sz="8" w:space="0"/>
              <w:right w:val="single" w:color="000000" w:sz="8" w:space="0"/>
            </w:tcBorders>
            <w:vAlign w:val="center"/>
          </w:tcPr>
          <w:p>
            <w:pPr>
              <w:rPr>
                <w:rFonts w:ascii="Calibri" w:hAnsi="Calibri" w:cs="Calibri"/>
                <w:kern w:val="2"/>
                <w:sz w:val="21"/>
                <w:szCs w:val="21"/>
              </w:rPr>
            </w:pP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sz w:val="24"/>
              </w:rPr>
            </w:pPr>
            <w:r>
              <w:rPr>
                <w:rFonts w:hint="eastAsia"/>
                <w:sz w:val="24"/>
              </w:rPr>
              <w:t>第十七讲</w:t>
            </w:r>
          </w:p>
          <w:p>
            <w:pPr>
              <w:jc w:val="center"/>
              <w:rPr>
                <w:sz w:val="24"/>
              </w:rPr>
            </w:pPr>
            <w:r>
              <w:rPr>
                <w:rFonts w:hint="eastAsia"/>
                <w:sz w:val="24"/>
              </w:rPr>
              <w:t>坚持全面从严治党</w:t>
            </w: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Style w:val="8"/>
                <w:rFonts w:hint="eastAsia" w:ascii="宋体" w:hAnsi="宋体" w:cs="宋体"/>
                <w:bCs/>
                <w:color w:val="000000"/>
                <w:szCs w:val="21"/>
              </w:rPr>
              <w:t>教学重点和考核点：</w:t>
            </w:r>
          </w:p>
          <w:p>
            <w:pPr>
              <w:spacing w:line="315" w:lineRule="atLeast"/>
              <w:rPr>
                <w:sz w:val="24"/>
              </w:rPr>
            </w:pPr>
            <w:r>
              <w:rPr>
                <w:rFonts w:hint="eastAsia"/>
                <w:sz w:val="24"/>
              </w:rPr>
              <w:t>十八大以来管党治党宽松软状况得到根本扭转的主要原因</w:t>
            </w:r>
          </w:p>
          <w:p>
            <w:pPr>
              <w:spacing w:line="315" w:lineRule="atLeast"/>
              <w:rPr>
                <w:rFonts w:cs="Calibri"/>
                <w:szCs w:val="21"/>
              </w:rPr>
            </w:pPr>
            <w:r>
              <w:rPr>
                <w:rStyle w:val="8"/>
                <w:rFonts w:hint="eastAsia" w:ascii="宋体" w:hAnsi="宋体" w:cs="宋体"/>
                <w:bCs/>
                <w:color w:val="000000"/>
                <w:szCs w:val="21"/>
              </w:rPr>
              <w:t>教学难点：</w:t>
            </w:r>
          </w:p>
          <w:p>
            <w:pPr>
              <w:spacing w:line="315" w:lineRule="atLeast"/>
              <w:rPr>
                <w:rStyle w:val="8"/>
                <w:rFonts w:ascii="宋体" w:hAnsi="宋体" w:cs="宋体"/>
                <w:bCs/>
                <w:color w:val="000000"/>
                <w:szCs w:val="21"/>
              </w:rPr>
            </w:pPr>
            <w:r>
              <w:rPr>
                <w:rFonts w:hint="eastAsia"/>
                <w:sz w:val="24"/>
              </w:rPr>
              <w:t>如何理解全面从严治党这场伟大自我革命</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674" w:hRule="atLeast"/>
          <w:jc w:val="center"/>
        </w:trPr>
        <w:tc>
          <w:tcPr>
            <w:tcW w:w="65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eastAsia="宋体" w:cs="Calibri"/>
                <w:szCs w:val="21"/>
              </w:rPr>
            </w:pPr>
            <w:r>
              <w:rPr>
                <w:rFonts w:hint="eastAsia" w:ascii="宋体" w:hAnsi="宋体" w:cs="宋体"/>
                <w:szCs w:val="21"/>
              </w:rPr>
              <w:t> </w:t>
            </w:r>
          </w:p>
          <w:p>
            <w:pPr>
              <w:spacing w:line="360" w:lineRule="atLeast"/>
              <w:jc w:val="center"/>
              <w:rPr>
                <w:rFonts w:cs="Calibri"/>
                <w:szCs w:val="21"/>
              </w:rPr>
            </w:pPr>
            <w:r>
              <w:rPr>
                <w:rFonts w:hint="eastAsia" w:ascii="宋体" w:hAnsi="宋体" w:cs="宋体"/>
                <w:szCs w:val="21"/>
              </w:rPr>
              <w:t> </w:t>
            </w:r>
          </w:p>
          <w:p>
            <w:pPr>
              <w:spacing w:line="360" w:lineRule="atLeast"/>
              <w:jc w:val="center"/>
              <w:rPr>
                <w:rFonts w:cs="Calibri"/>
                <w:szCs w:val="21"/>
              </w:rPr>
            </w:pPr>
            <w:r>
              <w:rPr>
                <w:rFonts w:hint="eastAsia" w:ascii="宋体" w:hAnsi="宋体" w:cs="宋体"/>
                <w:szCs w:val="21"/>
              </w:rPr>
              <w:t> </w:t>
            </w:r>
          </w:p>
          <w:p>
            <w:pPr>
              <w:spacing w:line="360" w:lineRule="atLeast"/>
              <w:jc w:val="center"/>
              <w:rPr>
                <w:rFonts w:cs="Calibri"/>
                <w:szCs w:val="21"/>
              </w:rPr>
            </w:pPr>
            <w:r>
              <w:rPr>
                <w:rFonts w:hint="eastAsia" w:ascii="宋体" w:hAnsi="宋体" w:cs="宋体"/>
                <w:szCs w:val="21"/>
              </w:rPr>
              <w:t> </w:t>
            </w:r>
          </w:p>
          <w:p>
            <w:pPr>
              <w:spacing w:line="360" w:lineRule="atLeast"/>
              <w:jc w:val="center"/>
              <w:rPr>
                <w:rFonts w:ascii="Calibri" w:hAnsi="Calibri" w:cs="Calibri"/>
                <w:kern w:val="2"/>
                <w:sz w:val="21"/>
                <w:szCs w:val="21"/>
              </w:rPr>
            </w:pPr>
            <w:r>
              <w:rPr>
                <w:rFonts w:hint="eastAsia" w:ascii="宋体" w:hAnsi="宋体" w:cs="宋体"/>
                <w:szCs w:val="21"/>
              </w:rPr>
              <w:t>15</w:t>
            </w:r>
          </w:p>
        </w:tc>
        <w:tc>
          <w:tcPr>
            <w:tcW w:w="12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szCs w:val="21"/>
              </w:rPr>
            </w:pPr>
            <w:r>
              <w:rPr>
                <w:rFonts w:hint="eastAsia" w:ascii="宋体" w:hAnsi="宋体" w:cs="宋体"/>
                <w:szCs w:val="21"/>
              </w:rPr>
              <w:t> </w:t>
            </w:r>
          </w:p>
          <w:p>
            <w:pPr>
              <w:spacing w:line="315" w:lineRule="atLeast"/>
              <w:rPr>
                <w:rFonts w:cs="Calibri"/>
                <w:szCs w:val="21"/>
              </w:rPr>
            </w:pPr>
            <w:r>
              <w:rPr>
                <w:rFonts w:hint="eastAsia" w:ascii="宋体" w:hAnsi="宋体" w:cs="宋体"/>
                <w:szCs w:val="21"/>
              </w:rPr>
              <w:t> </w:t>
            </w:r>
          </w:p>
          <w:p>
            <w:pPr>
              <w:spacing w:line="315" w:lineRule="atLeast"/>
              <w:ind w:firstLine="110" w:firstLineChars="50"/>
              <w:rPr>
                <w:rFonts w:cs="Calibri"/>
                <w:szCs w:val="21"/>
              </w:rPr>
            </w:pPr>
            <w:r>
              <w:rPr>
                <w:rFonts w:hint="eastAsia" w:ascii="宋体" w:hAnsi="宋体" w:cs="宋体"/>
                <w:szCs w:val="21"/>
              </w:rPr>
              <w:t>模块二</w:t>
            </w:r>
          </w:p>
          <w:p>
            <w:pPr>
              <w:spacing w:line="315" w:lineRule="atLeast"/>
              <w:jc w:val="both"/>
              <w:rPr>
                <w:rFonts w:ascii="Calibri" w:hAnsi="Calibri" w:cs="Calibri"/>
                <w:kern w:val="2"/>
                <w:sz w:val="21"/>
                <w:szCs w:val="21"/>
              </w:rPr>
            </w:pPr>
            <w:r>
              <w:rPr>
                <w:rFonts w:hint="eastAsia" w:ascii="宋体" w:hAnsi="宋体" w:cs="宋体"/>
                <w:szCs w:val="21"/>
              </w:rPr>
              <w:t>实践教学</w:t>
            </w:r>
          </w:p>
        </w:tc>
        <w:tc>
          <w:tcPr>
            <w:tcW w:w="11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rPr>
                <w:rFonts w:ascii="Calibri" w:hAnsi="Calibri" w:eastAsia="宋体" w:cs="Calibri"/>
                <w:b/>
                <w:szCs w:val="21"/>
              </w:rPr>
            </w:pPr>
            <w:r>
              <w:rPr>
                <w:rFonts w:hint="eastAsia" w:ascii="宋体" w:hAnsi="宋体" w:cs="宋体"/>
                <w:szCs w:val="21"/>
              </w:rPr>
              <w:t>1.</w:t>
            </w:r>
            <w:r>
              <w:rPr>
                <w:rStyle w:val="8"/>
                <w:rFonts w:hint="eastAsia" w:ascii="宋体" w:hAnsi="宋体" w:cs="宋体"/>
                <w:b w:val="0"/>
                <w:szCs w:val="21"/>
              </w:rPr>
              <w:t>课内实践</w:t>
            </w:r>
          </w:p>
          <w:p>
            <w:pPr>
              <w:spacing w:line="315" w:lineRule="atLeast"/>
              <w:rPr>
                <w:rFonts w:cs="Calibri"/>
                <w:b/>
                <w:szCs w:val="21"/>
              </w:rPr>
            </w:pPr>
            <w:r>
              <w:rPr>
                <w:rFonts w:hint="eastAsia" w:ascii="宋体" w:hAnsi="宋体" w:cs="宋体"/>
                <w:szCs w:val="21"/>
              </w:rPr>
              <w:t>2.</w:t>
            </w:r>
            <w:r>
              <w:rPr>
                <w:rStyle w:val="8"/>
                <w:rFonts w:hint="eastAsia" w:ascii="宋体" w:hAnsi="宋体" w:cs="宋体"/>
                <w:b w:val="0"/>
                <w:szCs w:val="21"/>
              </w:rPr>
              <w:t>课外实践</w:t>
            </w:r>
          </w:p>
          <w:p>
            <w:pPr>
              <w:spacing w:line="315" w:lineRule="atLeast"/>
              <w:jc w:val="both"/>
              <w:rPr>
                <w:rFonts w:ascii="Calibri" w:hAnsi="Calibri" w:cs="Calibri"/>
                <w:kern w:val="2"/>
                <w:sz w:val="21"/>
                <w:szCs w:val="21"/>
              </w:rPr>
            </w:pPr>
          </w:p>
        </w:tc>
        <w:tc>
          <w:tcPr>
            <w:tcW w:w="476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15" w:lineRule="atLeast"/>
              <w:jc w:val="both"/>
              <w:rPr>
                <w:sz w:val="24"/>
              </w:rPr>
            </w:pPr>
            <w:r>
              <w:rPr>
                <w:rFonts w:hint="eastAsia"/>
                <w:sz w:val="24"/>
              </w:rPr>
              <w:t>一、课内实践：大学生讲思政课</w:t>
            </w:r>
          </w:p>
          <w:p>
            <w:pPr>
              <w:rPr>
                <w:sz w:val="24"/>
              </w:rPr>
            </w:pPr>
            <w:r>
              <w:rPr>
                <w:rFonts w:hint="eastAsia"/>
                <w:sz w:val="24"/>
              </w:rPr>
              <w:t>（一）班级初赛</w:t>
            </w:r>
          </w:p>
          <w:p>
            <w:pPr>
              <w:ind w:firstLine="480" w:firstLineChars="200"/>
              <w:rPr>
                <w:sz w:val="24"/>
              </w:rPr>
            </w:pPr>
            <w:r>
              <w:rPr>
                <w:sz w:val="24"/>
              </w:rPr>
              <w:t>鼓励支持学生在</w:t>
            </w:r>
            <w:r>
              <w:rPr>
                <w:rFonts w:hint="eastAsia"/>
                <w:sz w:val="24"/>
              </w:rPr>
              <w:t>各院部</w:t>
            </w:r>
            <w:r>
              <w:rPr>
                <w:sz w:val="24"/>
              </w:rPr>
              <w:t>思政课教师指导下组建团队，围绕思政课课程中的有关章节或专题进行教学设计、</w:t>
            </w:r>
            <w:r>
              <w:rPr>
                <w:rFonts w:hint="eastAsia"/>
                <w:sz w:val="24"/>
              </w:rPr>
              <w:t>由思政课教师于期中</w:t>
            </w:r>
            <w:r>
              <w:rPr>
                <w:sz w:val="24"/>
              </w:rPr>
              <w:t>在授课班级进行初赛选拔，</w:t>
            </w:r>
            <w:r>
              <w:rPr>
                <w:rFonts w:hint="eastAsia"/>
                <w:sz w:val="24"/>
              </w:rPr>
              <w:t>每个班级</w:t>
            </w:r>
            <w:r>
              <w:rPr>
                <w:sz w:val="24"/>
              </w:rPr>
              <w:t>推荐</w:t>
            </w:r>
            <w:r>
              <w:rPr>
                <w:rFonts w:hint="eastAsia"/>
                <w:sz w:val="24"/>
              </w:rPr>
              <w:t>1支</w:t>
            </w:r>
            <w:r>
              <w:rPr>
                <w:sz w:val="24"/>
              </w:rPr>
              <w:t>优秀</w:t>
            </w:r>
            <w:r>
              <w:rPr>
                <w:rFonts w:hint="eastAsia"/>
                <w:sz w:val="24"/>
              </w:rPr>
              <w:t>团队进入决</w:t>
            </w:r>
            <w:r>
              <w:rPr>
                <w:sz w:val="24"/>
              </w:rPr>
              <w:t>赛</w:t>
            </w:r>
            <w:r>
              <w:rPr>
                <w:rFonts w:hint="eastAsia"/>
                <w:sz w:val="24"/>
              </w:rPr>
              <w:t>。</w:t>
            </w:r>
            <w:r>
              <w:rPr>
                <w:sz w:val="24"/>
              </w:rPr>
              <w:t>引导</w:t>
            </w:r>
            <w:r>
              <w:rPr>
                <w:rFonts w:hint="eastAsia"/>
                <w:sz w:val="24"/>
              </w:rPr>
              <w:t>青年学生进一步学懂弄通做实习近平新时代中国特色社会主义思想，</w:t>
            </w:r>
            <w:r>
              <w:rPr>
                <w:sz w:val="24"/>
              </w:rPr>
              <w:t>深化对思政课教学内容的认识和思考，展现新时代大学生的马克思主义理论素养和精神风貌。</w:t>
            </w:r>
          </w:p>
          <w:p>
            <w:pPr>
              <w:widowControl w:val="0"/>
              <w:numPr>
                <w:ilvl w:val="0"/>
                <w:numId w:val="3"/>
              </w:numPr>
              <w:adjustRightInd/>
              <w:snapToGrid/>
              <w:spacing w:after="0"/>
              <w:ind w:firstLine="480" w:firstLineChars="200"/>
              <w:jc w:val="both"/>
              <w:rPr>
                <w:sz w:val="24"/>
              </w:rPr>
            </w:pPr>
            <w:r>
              <w:rPr>
                <w:rFonts w:hint="eastAsia"/>
                <w:sz w:val="24"/>
              </w:rPr>
              <w:t>校级决赛</w:t>
            </w:r>
          </w:p>
          <w:p>
            <w:pPr>
              <w:ind w:firstLine="480" w:firstLineChars="200"/>
              <w:rPr>
                <w:sz w:val="24"/>
              </w:rPr>
            </w:pPr>
            <w:r>
              <w:rPr>
                <w:rFonts w:hint="eastAsia"/>
                <w:sz w:val="24"/>
              </w:rPr>
              <w:t>马克思主义学院组织评委对参赛作品（PPT）进行集中评审，根据评审结果选出10个团队参加现场决赛。激励广大青年更好地用习近平新时代中国特色社会主义思想武装头脑、指导实践，不断增强政治判断力、政治领悟力、政治执行力。</w:t>
            </w:r>
          </w:p>
          <w:p>
            <w:pPr>
              <w:pStyle w:val="5"/>
              <w:shd w:val="clear" w:color="auto" w:fill="FFFFFF"/>
              <w:ind w:firstLine="640"/>
              <w:rPr>
                <w:rFonts w:ascii="Tahoma" w:hAnsi="Tahoma" w:eastAsia="微软雅黑" w:cstheme="minorBidi"/>
                <w:szCs w:val="22"/>
              </w:rPr>
            </w:pPr>
            <w:r>
              <w:rPr>
                <w:rFonts w:hint="eastAsia" w:ascii="Tahoma" w:hAnsi="Tahoma" w:eastAsia="微软雅黑" w:cstheme="minorBidi"/>
                <w:szCs w:val="22"/>
              </w:rPr>
              <w:t>二、课外实践：</w:t>
            </w:r>
            <w:r>
              <w:rPr>
                <w:rFonts w:ascii="Tahoma" w:hAnsi="Tahoma" w:eastAsia="微软雅黑" w:cstheme="minorBidi"/>
                <w:szCs w:val="22"/>
              </w:rPr>
              <w:t>宝鸡市凤翔区六营村乡村振兴教育实践基地活动</w:t>
            </w:r>
          </w:p>
          <w:p>
            <w:pPr>
              <w:pStyle w:val="5"/>
              <w:shd w:val="clear" w:color="auto" w:fill="FFFFFF"/>
              <w:spacing w:before="0" w:beforeAutospacing="0" w:after="0" w:afterAutospacing="0"/>
              <w:ind w:firstLine="360" w:firstLineChars="150"/>
              <w:jc w:val="both"/>
              <w:rPr>
                <w:rFonts w:ascii="Tahoma" w:hAnsi="Tahoma" w:eastAsia="微软雅黑" w:cstheme="minorBidi"/>
                <w:szCs w:val="22"/>
              </w:rPr>
            </w:pPr>
            <w:r>
              <w:rPr>
                <w:rFonts w:hint="eastAsia" w:ascii="Tahoma" w:hAnsi="Tahoma" w:eastAsia="微软雅黑" w:cstheme="minorBidi"/>
                <w:szCs w:val="22"/>
              </w:rPr>
              <w:t>（一）参观：观赏当地田园风光、人文景观和特色产业。</w:t>
            </w:r>
          </w:p>
          <w:p>
            <w:pPr>
              <w:pStyle w:val="5"/>
              <w:shd w:val="clear" w:color="auto" w:fill="FFFFFF"/>
              <w:spacing w:before="0" w:beforeAutospacing="0" w:after="0" w:afterAutospacing="0"/>
              <w:ind w:firstLine="480" w:firstLineChars="200"/>
              <w:jc w:val="both"/>
              <w:rPr>
                <w:rFonts w:ascii="Tahoma" w:hAnsi="Tahoma" w:eastAsia="微软雅黑" w:cstheme="minorBidi"/>
                <w:szCs w:val="22"/>
              </w:rPr>
            </w:pPr>
            <w:r>
              <w:rPr>
                <w:rFonts w:hint="eastAsia" w:ascii="Tahoma" w:hAnsi="Tahoma" w:eastAsia="微软雅黑" w:cstheme="minorBidi"/>
                <w:szCs w:val="22"/>
              </w:rPr>
              <w:t>（二）社会生产劳动：参加农业生产劳动和环境治理活动等。</w:t>
            </w:r>
          </w:p>
          <w:p>
            <w:pPr>
              <w:pStyle w:val="5"/>
              <w:shd w:val="clear" w:color="auto" w:fill="FFFFFF"/>
              <w:spacing w:before="0" w:beforeAutospacing="0" w:after="0" w:afterAutospacing="0"/>
              <w:jc w:val="both"/>
              <w:rPr>
                <w:rFonts w:ascii="Tahoma" w:hAnsi="Tahoma" w:eastAsia="微软雅黑" w:cstheme="minorBidi"/>
                <w:szCs w:val="22"/>
              </w:rPr>
            </w:pPr>
            <w:r>
              <w:rPr>
                <w:rFonts w:hint="eastAsia" w:ascii="Tahoma" w:hAnsi="Tahoma" w:eastAsia="微软雅黑" w:cstheme="minorBidi"/>
                <w:szCs w:val="22"/>
              </w:rPr>
              <w:t>     （三）调查：结合教学内容进行验证性或探究性的调查。</w:t>
            </w:r>
          </w:p>
        </w:tc>
        <w:tc>
          <w:tcPr>
            <w:tcW w:w="6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Calibri" w:hAnsi="Calibri" w:eastAsia="宋体" w:cs="Calibri"/>
                <w:szCs w:val="21"/>
              </w:rPr>
            </w:pPr>
            <w:r>
              <w:rPr>
                <w:rFonts w:hint="eastAsia" w:ascii="宋体" w:hAnsi="宋体" w:cs="宋体"/>
                <w:szCs w:val="21"/>
              </w:rPr>
              <w:t> </w:t>
            </w:r>
          </w:p>
          <w:p>
            <w:pPr>
              <w:spacing w:line="360" w:lineRule="atLeast"/>
              <w:jc w:val="center"/>
              <w:rPr>
                <w:rFonts w:cs="Calibri"/>
                <w:szCs w:val="21"/>
              </w:rPr>
            </w:pPr>
            <w:r>
              <w:rPr>
                <w:rFonts w:hint="eastAsia" w:ascii="宋体" w:hAnsi="宋体" w:cs="宋体"/>
                <w:szCs w:val="21"/>
              </w:rPr>
              <w:t> </w:t>
            </w:r>
          </w:p>
          <w:p>
            <w:pPr>
              <w:spacing w:line="360" w:lineRule="atLeast"/>
              <w:jc w:val="center"/>
              <w:rPr>
                <w:rFonts w:cs="Calibri"/>
                <w:szCs w:val="21"/>
              </w:rPr>
            </w:pPr>
            <w:r>
              <w:rPr>
                <w:rFonts w:hint="eastAsia" w:ascii="宋体" w:hAnsi="宋体" w:cs="宋体"/>
                <w:szCs w:val="21"/>
              </w:rPr>
              <w:t> </w:t>
            </w:r>
          </w:p>
          <w:p>
            <w:pPr>
              <w:spacing w:line="360" w:lineRule="atLeast"/>
              <w:jc w:val="center"/>
              <w:rPr>
                <w:rFonts w:cs="Calibri"/>
                <w:szCs w:val="21"/>
              </w:rPr>
            </w:pPr>
            <w:r>
              <w:rPr>
                <w:rFonts w:hint="eastAsia" w:ascii="宋体" w:hAnsi="宋体" w:cs="宋体"/>
                <w:szCs w:val="21"/>
              </w:rPr>
              <w:t> </w:t>
            </w:r>
          </w:p>
          <w:p>
            <w:pPr>
              <w:spacing w:line="360" w:lineRule="atLeast"/>
              <w:jc w:val="center"/>
              <w:rPr>
                <w:rFonts w:ascii="Calibri" w:hAnsi="Calibri" w:cs="Calibri"/>
                <w:kern w:val="2"/>
                <w:sz w:val="21"/>
                <w:szCs w:val="21"/>
              </w:rPr>
            </w:pPr>
            <w:r>
              <w:rPr>
                <w:rFonts w:hint="eastAsia" w:ascii="宋体" w:hAnsi="宋体" w:cs="宋体"/>
                <w:szCs w:val="21"/>
              </w:rPr>
              <w:t>4</w:t>
            </w:r>
          </w:p>
        </w:tc>
      </w:tr>
    </w:tbl>
    <w:p>
      <w:pPr>
        <w:spacing w:line="315" w:lineRule="atLeast"/>
        <w:ind w:firstLine="420"/>
        <w:rPr>
          <w:rFonts w:ascii="Calibri" w:hAnsi="Calibri" w:cs="Calibri"/>
          <w:kern w:val="2"/>
          <w:sz w:val="21"/>
          <w:szCs w:val="21"/>
        </w:rPr>
      </w:pPr>
      <w:r>
        <w:rPr>
          <w:rStyle w:val="8"/>
          <w:rFonts w:hint="eastAsia" w:ascii="宋体" w:hAnsi="宋体" w:cs="宋体"/>
          <w:bCs/>
          <w:color w:val="444444"/>
          <w:sz w:val="24"/>
          <w:shd w:val="clear" w:color="auto" w:fill="FFFFFF"/>
        </w:rPr>
        <w:t>五、课程考核</w:t>
      </w:r>
    </w:p>
    <w:p>
      <w:pPr>
        <w:pStyle w:val="5"/>
        <w:spacing w:before="0" w:beforeAutospacing="0" w:after="300" w:afterAutospacing="0" w:line="338" w:lineRule="atLeast"/>
        <w:ind w:firstLine="221"/>
        <w:jc w:val="both"/>
        <w:rPr>
          <w:rFonts w:ascii="Tahoma" w:hAnsi="Tahoma" w:eastAsia="微软雅黑" w:cstheme="minorBidi"/>
          <w:szCs w:val="22"/>
        </w:rPr>
      </w:pPr>
      <w:r>
        <w:rPr>
          <w:rFonts w:hint="eastAsia" w:ascii="Tahoma" w:hAnsi="Tahoma" w:eastAsia="微软雅黑" w:cstheme="minorBidi"/>
          <w:szCs w:val="22"/>
        </w:rPr>
        <w:t>（一）基本原则</w:t>
      </w:r>
    </w:p>
    <w:p>
      <w:pPr>
        <w:spacing w:line="315" w:lineRule="atLeast"/>
        <w:ind w:firstLine="440"/>
        <w:rPr>
          <w:sz w:val="24"/>
        </w:rPr>
      </w:pPr>
      <w:r>
        <w:rPr>
          <w:rFonts w:hint="eastAsia"/>
          <w:sz w:val="24"/>
        </w:rPr>
        <w:t>学生综合成绩评定实行形成性考核与终结性考核相结合的方式。形成性考核包括平时学习表现和实践表现，注重过程性和增值型评价，教师全程关注并记录学生学习状态和成长过程，以线上线下学习参与的记录为主要依据。终结性考核以期末理论知识考试为主，考核学生一学期理论知识获得情况，试题知识覆盖面要广，具有一定的理论深度，学生在线随机抽题作答，线上试题逐年递增完善。平时与期末、理论与实践、卷面与日常表现三结合方式，将教学过程评价和期末考试评价有机结合起来，形成健全完备的科学考核评价体系，以综合评价学生对所学内容的理解和实践能力。</w:t>
      </w:r>
    </w:p>
    <w:p>
      <w:pPr>
        <w:pStyle w:val="5"/>
        <w:spacing w:before="0" w:beforeAutospacing="0" w:after="300" w:afterAutospacing="0" w:line="338" w:lineRule="atLeast"/>
        <w:ind w:firstLine="221"/>
        <w:jc w:val="both"/>
        <w:rPr>
          <w:rFonts w:ascii="Tahoma" w:hAnsi="Tahoma" w:eastAsia="微软雅黑" w:cstheme="minorBidi"/>
          <w:szCs w:val="22"/>
        </w:rPr>
      </w:pPr>
      <w:r>
        <w:rPr>
          <w:rFonts w:hint="eastAsia" w:ascii="Tahoma" w:hAnsi="Tahoma" w:eastAsia="微软雅黑" w:cstheme="minorBidi"/>
          <w:szCs w:val="22"/>
        </w:rPr>
        <w:t>（二）适用范围</w:t>
      </w:r>
    </w:p>
    <w:p>
      <w:pPr>
        <w:pStyle w:val="5"/>
        <w:spacing w:before="0" w:beforeAutospacing="0" w:after="300" w:afterAutospacing="0" w:line="338" w:lineRule="atLeast"/>
        <w:ind w:firstLine="440"/>
        <w:jc w:val="both"/>
        <w:rPr>
          <w:rFonts w:ascii="Tahoma" w:hAnsi="Tahoma" w:eastAsia="微软雅黑" w:cstheme="minorBidi"/>
          <w:szCs w:val="22"/>
        </w:rPr>
      </w:pPr>
      <w:r>
        <w:rPr>
          <w:rFonts w:hint="eastAsia" w:ascii="Tahoma" w:hAnsi="Tahoma" w:eastAsia="微软雅黑" w:cstheme="minorBidi"/>
          <w:szCs w:val="22"/>
        </w:rPr>
        <w:t>本方案适用于本校全日制在校各院（部）各专业学生。</w:t>
      </w:r>
    </w:p>
    <w:p>
      <w:pPr>
        <w:pStyle w:val="5"/>
        <w:spacing w:before="0" w:beforeAutospacing="0" w:after="300" w:afterAutospacing="0" w:line="338" w:lineRule="atLeast"/>
        <w:ind w:firstLine="221"/>
        <w:jc w:val="both"/>
        <w:rPr>
          <w:rFonts w:ascii="Tahoma" w:hAnsi="Tahoma" w:eastAsia="微软雅黑" w:cstheme="minorBidi"/>
          <w:szCs w:val="22"/>
        </w:rPr>
      </w:pPr>
      <w:r>
        <w:rPr>
          <w:rFonts w:hint="eastAsia" w:ascii="Tahoma" w:hAnsi="Tahoma" w:eastAsia="微软雅黑" w:cstheme="minorBidi"/>
          <w:szCs w:val="22"/>
        </w:rPr>
        <w:t>（三）成绩构成</w:t>
      </w:r>
    </w:p>
    <w:p>
      <w:pPr>
        <w:spacing w:line="315" w:lineRule="atLeast"/>
        <w:ind w:firstLine="440"/>
        <w:rPr>
          <w:sz w:val="24"/>
        </w:rPr>
      </w:pPr>
      <w:r>
        <w:rPr>
          <w:rFonts w:hint="eastAsia"/>
          <w:sz w:val="24"/>
        </w:rPr>
        <w:t>学生期末课程总成绩=平时成绩（占总成绩的70%）+期末考试成绩（占总成绩的30%）</w:t>
      </w:r>
    </w:p>
    <w:p>
      <w:pPr>
        <w:spacing w:line="315" w:lineRule="atLeast"/>
        <w:ind w:firstLine="440"/>
        <w:rPr>
          <w:sz w:val="24"/>
        </w:rPr>
      </w:pPr>
      <w:r>
        <w:rPr>
          <w:rFonts w:hint="eastAsia"/>
          <w:sz w:val="24"/>
        </w:rPr>
        <w:t>1.平时成绩</w:t>
      </w:r>
    </w:p>
    <w:p>
      <w:pPr>
        <w:spacing w:line="315" w:lineRule="atLeast"/>
        <w:ind w:firstLine="440"/>
        <w:rPr>
          <w:sz w:val="24"/>
        </w:rPr>
      </w:pPr>
      <w:r>
        <w:rPr>
          <w:rFonts w:hint="eastAsia"/>
          <w:sz w:val="24"/>
        </w:rPr>
        <w:t>实行百分制，占该课程总成绩的70%，包括线上线下学习参与、出勤、作业和课内实践四部分。</w:t>
      </w:r>
    </w:p>
    <w:p>
      <w:pPr>
        <w:spacing w:line="315" w:lineRule="atLeast"/>
        <w:ind w:firstLine="440"/>
        <w:rPr>
          <w:sz w:val="24"/>
        </w:rPr>
      </w:pPr>
      <w:r>
        <w:rPr>
          <w:rFonts w:hint="eastAsia"/>
          <w:sz w:val="24"/>
        </w:rPr>
        <w:t>（1）学习参与：45分</w:t>
      </w:r>
    </w:p>
    <w:p>
      <w:pPr>
        <w:spacing w:line="315" w:lineRule="atLeast"/>
        <w:ind w:firstLine="440"/>
        <w:rPr>
          <w:sz w:val="24"/>
        </w:rPr>
      </w:pPr>
      <w:r>
        <w:rPr>
          <w:rFonts w:hint="eastAsia"/>
          <w:sz w:val="24"/>
        </w:rPr>
        <w:t> 教师应完善课前、课中、课后教学环节，应运用“线上+线下”混合式教学方法，学生应完成各个教学环节及网络课堂和实体课堂教学中教师发布的各项学习任务。线下学习25分，线上学习20分。教师认真组织小组讨论、学生发言、师生互动、情景表演及其它形式丰富的线上线下课堂活动，根据活动安排分配分数，45分到顶。课堂表现基础分为15分。</w:t>
      </w:r>
    </w:p>
    <w:p>
      <w:pPr>
        <w:spacing w:line="315" w:lineRule="atLeast"/>
        <w:ind w:firstLine="440"/>
        <w:rPr>
          <w:sz w:val="24"/>
        </w:rPr>
      </w:pPr>
      <w:r>
        <w:rPr>
          <w:rFonts w:hint="eastAsia"/>
          <w:sz w:val="24"/>
        </w:rPr>
        <w:t>（2）出勤及纪律：25分</w:t>
      </w:r>
    </w:p>
    <w:p>
      <w:pPr>
        <w:spacing w:line="315" w:lineRule="atLeast"/>
        <w:ind w:firstLine="440"/>
        <w:rPr>
          <w:sz w:val="24"/>
        </w:rPr>
      </w:pPr>
      <w:r>
        <w:rPr>
          <w:rFonts w:hint="eastAsia"/>
          <w:sz w:val="24"/>
        </w:rPr>
        <w:t>     学生应自觉遵守、维护课堂纪律，保证出勤。非全勤者扣分，扣分标准为：无故旷课每次扣5分，迟到、早退、请假每次扣2分，扣完25分为止。（如果学生参加由学校或二级学院组织的集体活动，并有正规的请假手续，任课教师可酌情不扣分。）要求各任课老师严格考勤。对于严重违反课堂纪律、干扰正常课堂教学秩序的，扣课堂表现分数（每次扣10分）。</w:t>
      </w:r>
    </w:p>
    <w:p>
      <w:pPr>
        <w:spacing w:line="315" w:lineRule="atLeast"/>
        <w:ind w:firstLine="440"/>
        <w:rPr>
          <w:sz w:val="24"/>
        </w:rPr>
      </w:pPr>
      <w:r>
        <w:rPr>
          <w:rFonts w:hint="eastAsia"/>
          <w:sz w:val="24"/>
        </w:rPr>
        <w:t>（3）作业：15分</w:t>
      </w:r>
    </w:p>
    <w:p>
      <w:pPr>
        <w:spacing w:line="315" w:lineRule="atLeast"/>
        <w:ind w:firstLine="440"/>
        <w:rPr>
          <w:sz w:val="24"/>
        </w:rPr>
      </w:pPr>
      <w:r>
        <w:rPr>
          <w:rFonts w:hint="eastAsia"/>
          <w:sz w:val="24"/>
        </w:rPr>
        <w:t>各任课教师每学期最少布置作业3—5次，作业形式不限。</w:t>
      </w:r>
    </w:p>
    <w:p>
      <w:pPr>
        <w:spacing w:line="315" w:lineRule="atLeast"/>
        <w:ind w:firstLine="440"/>
        <w:rPr>
          <w:sz w:val="24"/>
        </w:rPr>
      </w:pPr>
      <w:r>
        <w:rPr>
          <w:rFonts w:hint="eastAsia"/>
          <w:sz w:val="24"/>
        </w:rPr>
        <w:t>（4）课内实践：15分</w:t>
      </w:r>
    </w:p>
    <w:p>
      <w:pPr>
        <w:spacing w:line="315" w:lineRule="atLeast"/>
        <w:ind w:firstLine="440"/>
        <w:rPr>
          <w:sz w:val="24"/>
        </w:rPr>
      </w:pPr>
      <w:r>
        <w:rPr>
          <w:rFonts w:hint="eastAsia"/>
          <w:sz w:val="24"/>
        </w:rPr>
        <w:t> 每学期每门课程课内（外）实践均安排4学时，各任课教师可根据教学内容采取灵活多样的形式。</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2.期末考试成绩</w:t>
      </w:r>
    </w:p>
    <w:p>
      <w:pPr>
        <w:pStyle w:val="5"/>
        <w:spacing w:before="0" w:beforeAutospacing="0" w:after="300" w:afterAutospacing="0" w:line="338" w:lineRule="atLeast"/>
        <w:ind w:firstLine="330"/>
        <w:jc w:val="both"/>
        <w:rPr>
          <w:rFonts w:ascii="Tahoma" w:hAnsi="Tahoma" w:eastAsia="微软雅黑" w:cstheme="minorBidi"/>
          <w:szCs w:val="22"/>
        </w:rPr>
      </w:pPr>
      <w:r>
        <w:rPr>
          <w:rFonts w:hint="eastAsia" w:ascii="Tahoma" w:hAnsi="Tahoma" w:eastAsia="微软雅黑" w:cstheme="minorBidi"/>
          <w:szCs w:val="22"/>
        </w:rPr>
        <w:t>实行百分制，占该课程总成绩的30%，在在线课程平台完成，随机抽题作答，主要考查学生对基本知识、基本理论的理解和实际应用能力。</w:t>
      </w:r>
    </w:p>
    <w:p>
      <w:pPr>
        <w:spacing w:line="315" w:lineRule="atLeast"/>
        <w:ind w:firstLine="420"/>
        <w:rPr>
          <w:rStyle w:val="8"/>
          <w:rFonts w:ascii="宋体" w:hAnsi="宋体" w:cs="宋体"/>
          <w:bCs/>
          <w:color w:val="444444"/>
          <w:sz w:val="24"/>
          <w:shd w:val="clear" w:color="auto" w:fill="FFFFFF"/>
        </w:rPr>
      </w:pPr>
      <w:r>
        <w:rPr>
          <w:rStyle w:val="8"/>
          <w:rFonts w:hint="eastAsia" w:ascii="宋体" w:hAnsi="宋体" w:cs="宋体"/>
          <w:bCs/>
          <w:color w:val="444444"/>
          <w:sz w:val="24"/>
          <w:shd w:val="clear" w:color="auto" w:fill="FFFFFF"/>
        </w:rPr>
        <w:t>六、实施要求</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（一）授课教师基本要求</w:t>
      </w:r>
    </w:p>
    <w:p>
      <w:pPr>
        <w:pStyle w:val="5"/>
        <w:spacing w:before="0" w:beforeAutospacing="0" w:after="300" w:afterAutospacing="0" w:line="338" w:lineRule="atLeast"/>
        <w:ind w:firstLine="480" w:firstLineChars="200"/>
        <w:jc w:val="both"/>
        <w:rPr>
          <w:rFonts w:ascii="Tahoma" w:hAnsi="Tahoma" w:eastAsia="微软雅黑" w:cstheme="minorBidi"/>
          <w:szCs w:val="22"/>
        </w:rPr>
      </w:pPr>
      <w:r>
        <w:rPr>
          <w:rFonts w:hint="eastAsia" w:ascii="Tahoma" w:hAnsi="Tahoma" w:eastAsia="微软雅黑" w:cstheme="minorBidi"/>
          <w:szCs w:val="22"/>
        </w:rPr>
        <w:t>1学历学科背景。本门课程授课教师最少需具备本科以上学历，学科背景以马克思主义哲学、思想政治教育、政治经济学、历史学为主。教师不仅应从整体上把握马克思主义，运用马克思主义的世界观和方法论正确认识人类社会发展的客观规律，还要深刻了解国史、国情，敏锐而准确把握国内外形势的变化以及党和国家大政方针政策的新精神，自觉主动地补充新内容，准备新材料；不仅要打牢有关马克思主义理论与马克思主义中国化、近现代中国与世界史等方面的学科基础知识，还要密切关注经济学、政治学、社会学等其他人文社会科学研究的前沿问题，甚至要了解一些社会科学领域的研究成果。在教学与研究的广阔领域中做到博览而精深，以深厚的学科知识、科学的精深与理论思维增强教学的说服力。</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2职称、职业资格要求。本课程授课教师须持有高等学校教师资格证，具有扎实的专业理论功底与宽广的跨学科知识，能够胜任课堂教学与理论研究工作。新进老师须经岗前培训，按照学校要求通过考核获取助教资格。</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3教育教学能力。习思想教师不仅要具有扎实的专业理论功底与宽广的跨学科知识，还要注重教育教学能力的培养。一是要把握课程特点，吃透教材。习思想是马克思主义中国化的集中体现，教师要把握好其理论性、实践性、动态性与实践性等特点，理清重点难点问题，形成讲政治与讲理论有机结合的教材体系。二是要创新教学模式，做好课堂设计，实现教材体系向教学体系转换。针对我校学科专业特点，贴近学生实际创新课堂设计，综合运用现代化信息技术手段，将生硬的理论讲解转化成生动的价值引领。将角色体验、问题辩论等方式融入课堂，增强思政课的亲和力、说服力和感染力。</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（二）课程授课基本要求</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本课程按照《</w:t>
      </w:r>
      <w:r>
        <w:rPr>
          <w:rFonts w:hint="eastAsia" w:ascii="Tahoma" w:hAnsi="Tahoma" w:eastAsia="微软雅黑" w:cstheme="minorBidi"/>
          <w:szCs w:val="22"/>
          <w:lang w:eastAsia="zh-CN"/>
        </w:rPr>
        <w:t>新疆石河子职业技术学院</w:t>
      </w:r>
      <w:r>
        <w:rPr>
          <w:rFonts w:hint="eastAsia" w:ascii="Tahoma" w:hAnsi="Tahoma" w:eastAsia="微软雅黑" w:cstheme="minorBidi"/>
          <w:szCs w:val="22"/>
        </w:rPr>
        <w:t>人才培养方案》要求，规范学分、保证学时。使用教育部统一课件，每学期结合各专业学生实际分配教学任务，以专业为单位编写授课计划和教案，制作课件。作业采取多种形式，线上、线下均可。</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（三）教学方法与策略</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1教学方法</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1）理论联系实际法。理论联系实际是马克思主义的根本理论特征和根本原则，也是学习及运用本课程的根本方法和根本指导方针。通过理论联系实际，调动学生的学习积极性，增强本课程的说服力、吸引力，提升学生洞察世事的能力，掌握解决问题的方法，使学生真正对理论产生兴趣。</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2）案例教学法。教师认真选择相关的教学案例，并且鼓励、指导学生积极收集、编辑典型性案例，让他们运用已有的理论知识和分析能力去思考、判断和选择，进而得出正确的结论，使学生对知识由简单获取变为主动探求，提高了他们学习的积极性，达到“知行合一”的目的。</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（3）启发式教学法。合理估计学生的理论素质，从问题背景、历史经验、认识方法等方面入手，引导学生通过分析、比较、思考、研究、讨论，独立得出应有的结论。</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（4）讨论式教学法。每学期利用2-4课时开展课堂讨论。提前设计并告知学生讨论题目，学生课下分小组讨论，课上分小组阐述观点，小组之间再次进行讨论，使学生在思辨中加深对所学知识的理解吸收。</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2教学策略</w:t>
      </w:r>
    </w:p>
    <w:p>
      <w:pPr>
        <w:pStyle w:val="5"/>
        <w:spacing w:before="0" w:beforeAutospacing="0" w:after="300" w:afterAutospacing="0" w:line="338" w:lineRule="atLeast"/>
        <w:ind w:firstLine="442"/>
        <w:jc w:val="both"/>
        <w:rPr>
          <w:rFonts w:ascii="Tahoma" w:hAnsi="Tahoma" w:eastAsia="微软雅黑" w:cstheme="minorBidi"/>
          <w:szCs w:val="22"/>
        </w:rPr>
      </w:pPr>
      <w:r>
        <w:rPr>
          <w:rFonts w:hint="eastAsia" w:ascii="Tahoma" w:hAnsi="Tahoma" w:eastAsia="微软雅黑" w:cstheme="minorBidi"/>
          <w:szCs w:val="22"/>
        </w:rPr>
        <w:t>以小班（80人左右）为单位开展教学。以学生为主体、教师为主导，坚持问题导向、任务驱动，使用讲授法、讨论法、案例法等教学方法，线上线下教学相结合，运用多媒体、资源库等辅助教学，实现师生互动、生生互动，激发学生自主学习兴趣，提高学生收获感。采用线上线下相结合的混合式教学策略，教师合理划分线上线下学时。课前、课后，教师引导学生学生利用现代化的信息技术，自主安排学习进度、规划科学系时间，观看课程视频，浏览教学资源，培养自主学习能力。在线上课堂，教师指导学生使用教学资源自主探究，针对重难点问题，进行启发式教学，师生共同完成学习任务。在实体课堂，教师通过启发式提问、小组讨论、学生演示等多种教学方法开展教学，课堂学习以学生为中心，学生参与小组学习、协作探究、讨论交流等，共同理解理论知识、分析实际问题。</w:t>
      </w:r>
    </w:p>
    <w:p>
      <w:pPr>
        <w:spacing w:line="220" w:lineRule="atLeast"/>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92318"/>
    <w:multiLevelType w:val="singleLevel"/>
    <w:tmpl w:val="DEE92318"/>
    <w:lvl w:ilvl="0" w:tentative="0">
      <w:start w:val="2"/>
      <w:numFmt w:val="chineseCounting"/>
      <w:suff w:val="nothing"/>
      <w:lvlText w:val="（%1）"/>
      <w:lvlJc w:val="left"/>
      <w:rPr>
        <w:rFonts w:hint="eastAsia"/>
      </w:rPr>
    </w:lvl>
  </w:abstractNum>
  <w:abstractNum w:abstractNumId="1">
    <w:nsid w:val="0D2E5B17"/>
    <w:multiLevelType w:val="multilevel"/>
    <w:tmpl w:val="0D2E5B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AD47600"/>
    <w:multiLevelType w:val="multilevel"/>
    <w:tmpl w:val="7AD47600"/>
    <w:lvl w:ilvl="0" w:tentative="0">
      <w:start w:val="1"/>
      <w:numFmt w:val="decimal"/>
      <w:lvlText w:val="%1．"/>
      <w:lvlJc w:val="left"/>
      <w:pPr>
        <w:ind w:left="372" w:hanging="3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zRhYjRhOWExNzdhNjllNjc2MWQ5MTdhNjFlNDQ3ZWIifQ=="/>
  </w:docVars>
  <w:rsids>
    <w:rsidRoot w:val="00D31D50"/>
    <w:rsid w:val="00042931"/>
    <w:rsid w:val="00046EDE"/>
    <w:rsid w:val="00086044"/>
    <w:rsid w:val="000929D1"/>
    <w:rsid w:val="000F5AB2"/>
    <w:rsid w:val="00132E10"/>
    <w:rsid w:val="00147D3D"/>
    <w:rsid w:val="00173547"/>
    <w:rsid w:val="001802E5"/>
    <w:rsid w:val="001B14C3"/>
    <w:rsid w:val="001C183E"/>
    <w:rsid w:val="001E1B23"/>
    <w:rsid w:val="002E62FE"/>
    <w:rsid w:val="00323B43"/>
    <w:rsid w:val="00354177"/>
    <w:rsid w:val="0037305F"/>
    <w:rsid w:val="003B4213"/>
    <w:rsid w:val="003D1358"/>
    <w:rsid w:val="003D37D8"/>
    <w:rsid w:val="003D5FF5"/>
    <w:rsid w:val="003D699C"/>
    <w:rsid w:val="003D781D"/>
    <w:rsid w:val="00405E3A"/>
    <w:rsid w:val="0041335D"/>
    <w:rsid w:val="00426133"/>
    <w:rsid w:val="004358AB"/>
    <w:rsid w:val="00443AAB"/>
    <w:rsid w:val="004666F9"/>
    <w:rsid w:val="00471F77"/>
    <w:rsid w:val="00477C3C"/>
    <w:rsid w:val="004C6722"/>
    <w:rsid w:val="004E0EA1"/>
    <w:rsid w:val="0051469D"/>
    <w:rsid w:val="0053799B"/>
    <w:rsid w:val="005456D9"/>
    <w:rsid w:val="00564EDB"/>
    <w:rsid w:val="00590CA8"/>
    <w:rsid w:val="005E41F5"/>
    <w:rsid w:val="0064180C"/>
    <w:rsid w:val="006471F0"/>
    <w:rsid w:val="006569CA"/>
    <w:rsid w:val="006641C0"/>
    <w:rsid w:val="00665126"/>
    <w:rsid w:val="00680700"/>
    <w:rsid w:val="00690410"/>
    <w:rsid w:val="006B2071"/>
    <w:rsid w:val="007172BA"/>
    <w:rsid w:val="00743CD2"/>
    <w:rsid w:val="00745107"/>
    <w:rsid w:val="00754D20"/>
    <w:rsid w:val="00754DE9"/>
    <w:rsid w:val="00770537"/>
    <w:rsid w:val="00780CCE"/>
    <w:rsid w:val="007E0473"/>
    <w:rsid w:val="0084684F"/>
    <w:rsid w:val="008978B4"/>
    <w:rsid w:val="008B7726"/>
    <w:rsid w:val="008D0CAE"/>
    <w:rsid w:val="0092542F"/>
    <w:rsid w:val="00941A55"/>
    <w:rsid w:val="009A00CD"/>
    <w:rsid w:val="00A1237D"/>
    <w:rsid w:val="00A25EEF"/>
    <w:rsid w:val="00A3280E"/>
    <w:rsid w:val="00A869D9"/>
    <w:rsid w:val="00A94A0B"/>
    <w:rsid w:val="00A97A29"/>
    <w:rsid w:val="00AC2D9C"/>
    <w:rsid w:val="00AC3986"/>
    <w:rsid w:val="00AD0E87"/>
    <w:rsid w:val="00B078D5"/>
    <w:rsid w:val="00B46406"/>
    <w:rsid w:val="00B8644C"/>
    <w:rsid w:val="00B9136E"/>
    <w:rsid w:val="00C35023"/>
    <w:rsid w:val="00C407E9"/>
    <w:rsid w:val="00C53CF4"/>
    <w:rsid w:val="00C70EF4"/>
    <w:rsid w:val="00CC7563"/>
    <w:rsid w:val="00CE24A4"/>
    <w:rsid w:val="00D31D50"/>
    <w:rsid w:val="00D368B1"/>
    <w:rsid w:val="00D51EFF"/>
    <w:rsid w:val="00D6640F"/>
    <w:rsid w:val="00E0629C"/>
    <w:rsid w:val="00E414D4"/>
    <w:rsid w:val="00E72163"/>
    <w:rsid w:val="00E75626"/>
    <w:rsid w:val="00E80FE8"/>
    <w:rsid w:val="00EE4C12"/>
    <w:rsid w:val="00EF51A5"/>
    <w:rsid w:val="00EF574B"/>
    <w:rsid w:val="00F33ABC"/>
    <w:rsid w:val="00F44F58"/>
    <w:rsid w:val="00F636B6"/>
    <w:rsid w:val="00FC3E21"/>
    <w:rsid w:val="58827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link w:val="12"/>
    <w:semiHidden/>
    <w:unhideWhenUsed/>
    <w:qFormat/>
    <w:uiPriority w:val="0"/>
    <w:pPr>
      <w:widowControl w:val="0"/>
      <w:adjustRightInd/>
      <w:snapToGrid/>
      <w:spacing w:before="100" w:beforeAutospacing="1" w:after="100" w:afterAutospacing="1"/>
      <w:outlineLvl w:val="2"/>
    </w:pPr>
    <w:rPr>
      <w:rFonts w:ascii="宋体" w:hAnsi="宋体" w:eastAsia="宋体" w:cs="宋体"/>
      <w:b/>
      <w:bCs/>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uiPriority w:val="99"/>
    <w:pPr>
      <w:tabs>
        <w:tab w:val="center" w:pos="4153"/>
        <w:tab w:val="right" w:pos="8306"/>
      </w:tabs>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页眉 Char"/>
    <w:basedOn w:val="7"/>
    <w:link w:val="4"/>
    <w:semiHidden/>
    <w:uiPriority w:val="99"/>
    <w:rPr>
      <w:rFonts w:ascii="Tahoma" w:hAnsi="Tahoma"/>
      <w:sz w:val="18"/>
      <w:szCs w:val="18"/>
    </w:rPr>
  </w:style>
  <w:style w:type="character" w:customStyle="1" w:styleId="11">
    <w:name w:val="页脚 Char"/>
    <w:basedOn w:val="7"/>
    <w:link w:val="3"/>
    <w:semiHidden/>
    <w:uiPriority w:val="99"/>
    <w:rPr>
      <w:rFonts w:ascii="Tahoma" w:hAnsi="Tahoma"/>
      <w:sz w:val="18"/>
      <w:szCs w:val="18"/>
    </w:rPr>
  </w:style>
  <w:style w:type="character" w:customStyle="1" w:styleId="12">
    <w:name w:val="标题 3 Char"/>
    <w:basedOn w:val="7"/>
    <w:link w:val="2"/>
    <w:semiHidden/>
    <w:uiPriority w:val="0"/>
    <w:rPr>
      <w:rFonts w:ascii="宋体" w:hAnsi="宋体" w:eastAsia="宋体" w:cs="宋体"/>
      <w:b/>
      <w:bCs/>
      <w:sz w:val="27"/>
      <w:szCs w:val="27"/>
    </w:rPr>
  </w:style>
  <w:style w:type="paragraph" w:styleId="13">
    <w:name w:val="List Paragraph"/>
    <w:basedOn w:val="1"/>
    <w:qFormat/>
    <w:uiPriority w:val="34"/>
    <w:pPr>
      <w:ind w:firstLine="420" w:firstLineChars="200"/>
    </w:pPr>
  </w:style>
  <w:style w:type="character" w:customStyle="1" w:styleId="14">
    <w:name w:val="fontstyle21"/>
    <w:basedOn w:val="7"/>
    <w:qFormat/>
    <w:uiPriority w:val="0"/>
    <w:rPr>
      <w:rFonts w:ascii="仿宋_GB2312" w:hAnsi="仿宋_GB2312" w:eastAsia="仿宋_GB2312" w:cs="仿宋_GB2312"/>
      <w:color w:val="000000"/>
      <w:sz w:val="32"/>
      <w:szCs w:val="32"/>
    </w:rPr>
  </w:style>
  <w:style w:type="character" w:customStyle="1" w:styleId="15">
    <w:name w:val="fontstyle11"/>
    <w:basedOn w:val="7"/>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8024</Words>
  <Characters>8103</Characters>
  <Lines>62</Lines>
  <Paragraphs>17</Paragraphs>
  <TotalTime>169</TotalTime>
  <ScaleCrop>false</ScaleCrop>
  <LinksUpToDate>false</LinksUpToDate>
  <CharactersWithSpaces>8202</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dell</dc:creator>
  <cp:lastModifiedBy>时光不语</cp:lastModifiedBy>
  <dcterms:modified xsi:type="dcterms:W3CDTF">2024-07-19T04:12:17Z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720158BCCA724C5BA294E4E5F1772C49_12</vt:lpwstr>
  </property>
</Properties>
</file>