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exact"/>
        <w:jc w:val="center"/>
        <w:outlineLvl w:val="0"/>
        <w:rPr>
          <w:rFonts w:ascii="仿宋" w:hAnsi="仿宋" w:eastAsia="仿宋" w:cs="仿宋"/>
          <w:b/>
          <w:bCs/>
          <w:color w:val="000000" w:themeColor="text1"/>
          <w:kern w:val="36"/>
          <w:sz w:val="28"/>
          <w:szCs w:val="28"/>
          <w14:textFill>
            <w14:solidFill>
              <w14:schemeClr w14:val="tx1"/>
            </w14:solidFill>
          </w14:textFill>
        </w:rPr>
      </w:pPr>
      <w:r>
        <w:rPr>
          <w:rFonts w:hint="eastAsia" w:ascii="仿宋" w:hAnsi="仿宋" w:eastAsia="仿宋" w:cs="仿宋"/>
          <w:b/>
          <w:bCs/>
          <w:color w:val="000000" w:themeColor="text1"/>
          <w:kern w:val="36"/>
          <w:sz w:val="28"/>
          <w:szCs w:val="28"/>
          <w14:textFill>
            <w14:solidFill>
              <w14:schemeClr w14:val="tx1"/>
            </w14:solidFill>
          </w14:textFill>
        </w:rPr>
        <w:t>新疆石河子职业技术学院</w:t>
      </w:r>
    </w:p>
    <w:p>
      <w:pPr>
        <w:widowControl/>
        <w:shd w:val="clear" w:color="auto" w:fill="FFFFFF"/>
        <w:spacing w:line="360" w:lineRule="exact"/>
        <w:jc w:val="center"/>
        <w:outlineLvl w:val="0"/>
        <w:rPr>
          <w:rFonts w:ascii="仿宋" w:hAnsi="仿宋" w:eastAsia="仿宋" w:cs="仿宋"/>
          <w:b/>
          <w:bCs/>
          <w:color w:val="000000" w:themeColor="text1"/>
          <w:kern w:val="36"/>
          <w:sz w:val="28"/>
          <w:szCs w:val="28"/>
          <w14:textFill>
            <w14:solidFill>
              <w14:schemeClr w14:val="tx1"/>
            </w14:solidFill>
          </w14:textFill>
        </w:rPr>
      </w:pPr>
      <w:r>
        <w:rPr>
          <w:rFonts w:hint="eastAsia" w:ascii="仿宋" w:hAnsi="仿宋" w:eastAsia="仿宋" w:cs="仿宋"/>
          <w:b/>
          <w:bCs/>
          <w:color w:val="000000" w:themeColor="text1"/>
          <w:kern w:val="36"/>
          <w:sz w:val="28"/>
          <w:szCs w:val="28"/>
          <w14:textFill>
            <w14:solidFill>
              <w14:schemeClr w14:val="tx1"/>
            </w14:solidFill>
          </w14:textFill>
        </w:rPr>
        <w:t>2022年优秀中职毕业生直升高职（专科）招生章程</w:t>
      </w:r>
    </w:p>
    <w:p>
      <w:pPr>
        <w:pStyle w:val="7"/>
        <w:shd w:val="clear" w:color="auto" w:fill="FFFFFF"/>
        <w:tabs>
          <w:tab w:val="left" w:pos="3600"/>
        </w:tabs>
        <w:spacing w:before="0" w:beforeAutospacing="0" w:after="0" w:afterAutospacing="0" w:line="360" w:lineRule="exact"/>
        <w:rPr>
          <w:rFonts w:ascii="仿宋" w:hAnsi="仿宋" w:eastAsia="仿宋" w:cs="仿宋"/>
          <w:b/>
          <w:color w:val="000000" w:themeColor="text1"/>
          <w14:textFill>
            <w14:solidFill>
              <w14:schemeClr w14:val="tx1"/>
            </w14:solidFill>
          </w14:textFill>
        </w:rPr>
      </w:pPr>
    </w:p>
    <w:p>
      <w:pPr>
        <w:spacing w:line="360" w:lineRule="exact"/>
        <w:jc w:val="left"/>
        <w:rPr>
          <w:rFonts w:ascii="仿宋_GB2312" w:hAnsi="仿宋" w:eastAsia="仿宋_GB2312"/>
          <w:b/>
          <w:color w:val="000000"/>
          <w:sz w:val="24"/>
        </w:rPr>
      </w:pPr>
      <w:r>
        <w:rPr>
          <w:rFonts w:hint="eastAsia" w:ascii="仿宋_GB2312" w:hAnsi="仿宋" w:eastAsia="仿宋_GB2312"/>
          <w:b/>
          <w:color w:val="000000"/>
          <w:sz w:val="24"/>
        </w:rPr>
        <w:t>国家公办普通高等职业院校               国家100所示范性高等职业院校</w:t>
      </w:r>
    </w:p>
    <w:p>
      <w:pPr>
        <w:spacing w:line="360" w:lineRule="exact"/>
        <w:jc w:val="left"/>
        <w:rPr>
          <w:rFonts w:ascii="仿宋_GB2312" w:hAnsi="仿宋" w:eastAsia="仿宋_GB2312"/>
          <w:b/>
          <w:color w:val="000000"/>
          <w:sz w:val="24"/>
        </w:rPr>
      </w:pPr>
      <w:r>
        <w:rPr>
          <w:rFonts w:hint="eastAsia" w:ascii="仿宋_GB2312" w:hAnsi="仿宋" w:eastAsia="仿宋_GB2312"/>
          <w:b/>
          <w:color w:val="000000"/>
          <w:sz w:val="24"/>
        </w:rPr>
        <w:t>新疆唯一一所定向培养士官院校           中国素质教育先进示范院校</w:t>
      </w:r>
    </w:p>
    <w:p>
      <w:pPr>
        <w:spacing w:line="360" w:lineRule="exact"/>
        <w:jc w:val="left"/>
        <w:rPr>
          <w:rFonts w:ascii="仿宋_GB2312" w:hAnsi="仿宋" w:eastAsia="仿宋_GB2312"/>
          <w:b/>
          <w:color w:val="000000"/>
          <w:sz w:val="24"/>
        </w:rPr>
      </w:pPr>
      <w:r>
        <w:rPr>
          <w:rFonts w:hint="eastAsia" w:ascii="仿宋_GB2312" w:hAnsi="仿宋" w:eastAsia="仿宋_GB2312"/>
          <w:b/>
          <w:color w:val="000000"/>
          <w:sz w:val="24"/>
        </w:rPr>
        <w:t>国家第一批高技能人才培养示范基地       建筑行业紧缺人才实训基地</w:t>
      </w:r>
    </w:p>
    <w:p>
      <w:pPr>
        <w:spacing w:line="360" w:lineRule="exact"/>
        <w:jc w:val="left"/>
        <w:rPr>
          <w:rFonts w:ascii="仿宋_GB2312" w:hAnsi="仿宋" w:eastAsia="仿宋_GB2312"/>
          <w:b/>
          <w:color w:val="000000"/>
          <w:sz w:val="24"/>
        </w:rPr>
      </w:pPr>
      <w:r>
        <w:rPr>
          <w:rFonts w:hint="eastAsia" w:ascii="仿宋_GB2312" w:hAnsi="仿宋" w:eastAsia="仿宋_GB2312"/>
          <w:b/>
          <w:color w:val="000000"/>
          <w:sz w:val="24"/>
        </w:rPr>
        <w:t>国家计算机应用技术职业技能实训基地     国家首批有色金属行业职业继续教育基地</w:t>
      </w:r>
    </w:p>
    <w:p>
      <w:pPr>
        <w:pStyle w:val="3"/>
        <w:spacing w:line="360" w:lineRule="exact"/>
      </w:pPr>
    </w:p>
    <w:p>
      <w:pPr>
        <w:pStyle w:val="3"/>
        <w:spacing w:line="360" w:lineRule="exact"/>
        <w:rPr>
          <w:b/>
          <w:i w:val="0"/>
        </w:rPr>
      </w:pPr>
      <w:r>
        <w:rPr>
          <w:rFonts w:hint="eastAsia"/>
          <w:b/>
          <w:i w:val="0"/>
        </w:rPr>
        <w:t>学院简介：</w:t>
      </w:r>
    </w:p>
    <w:p>
      <w:pPr>
        <w:spacing w:line="360" w:lineRule="exact"/>
        <w:ind w:firstLine="480" w:firstLineChars="200"/>
        <w:rPr>
          <w:rFonts w:ascii="方正仿宋简体" w:eastAsia="方正仿宋简体" w:hAnsiTheme="minorEastAsia"/>
          <w:color w:val="000000" w:themeColor="text1"/>
          <w:sz w:val="24"/>
          <w:szCs w:val="24"/>
          <w14:textFill>
            <w14:solidFill>
              <w14:schemeClr w14:val="tx1"/>
            </w14:solidFill>
          </w14:textFill>
        </w:rPr>
      </w:pPr>
      <w:r>
        <w:rPr>
          <w:rFonts w:hint="eastAsia" w:ascii="方正仿宋简体" w:eastAsia="方正仿宋简体" w:hAnsiTheme="minorEastAsia"/>
          <w:color w:val="000000" w:themeColor="text1"/>
          <w:sz w:val="24"/>
          <w:szCs w:val="24"/>
          <w14:textFill>
            <w14:solidFill>
              <w14:schemeClr w14:val="tx1"/>
            </w14:solidFill>
          </w14:textFill>
        </w:rPr>
        <w:t>新疆石河子职业技术学院地处军垦第一城、“戈壁明珠”石河子市，是2004年经新疆维吾尔自治区人民政府批准成立，国家教育部备案的一所公办普通高等职业院校，是一所集职本联办、高职、中职、五年一贯制、技工、成教（含本科）、培训为一体的多层次、多学科、多形式的综合性职业院校。学院是国家100所“示范性高等职业院校”、“全国乡村振兴人才培养优质校”。全国首批现代学徒制试点单位、国家“高技能人才培养示范基地”、教育部第二批国家级职业教育教师教学创新团队立项建设单位、新疆唯一一所定向培养“直招士官生”的院校。</w:t>
      </w:r>
    </w:p>
    <w:p>
      <w:pPr>
        <w:spacing w:line="360" w:lineRule="exact"/>
        <w:ind w:firstLine="480" w:firstLineChars="200"/>
        <w:rPr>
          <w:rFonts w:ascii="方正仿宋简体" w:eastAsia="方正仿宋简体" w:hAnsiTheme="minorEastAsia"/>
          <w:color w:val="000000" w:themeColor="text1"/>
          <w:sz w:val="24"/>
          <w:szCs w:val="24"/>
          <w14:textFill>
            <w14:solidFill>
              <w14:schemeClr w14:val="tx1"/>
            </w14:solidFill>
          </w14:textFill>
        </w:rPr>
      </w:pPr>
      <w:r>
        <w:rPr>
          <w:rFonts w:hint="eastAsia" w:ascii="方正仿宋简体" w:eastAsia="方正仿宋简体" w:hAnsiTheme="minorEastAsia"/>
          <w:color w:val="000000" w:themeColor="text1"/>
          <w:sz w:val="24"/>
          <w:szCs w:val="24"/>
          <w14:textFill>
            <w14:solidFill>
              <w14:schemeClr w14:val="tx1"/>
            </w14:solidFill>
          </w14:textFill>
        </w:rPr>
        <w:t>学院占地915亩，设有8个分院， 5个科研附属机构和10个国家级实验、实训室，建有陈学庚院士指导工作站、马光辉大师工作室、劳模创新工作室和兵团思政名师工作室；设有国家职业技能鉴定所2个，可对107个工种进行中高级工、技师的职业资格鉴定。</w:t>
      </w:r>
    </w:p>
    <w:p>
      <w:pPr>
        <w:spacing w:line="360" w:lineRule="exact"/>
        <w:ind w:firstLine="480" w:firstLineChars="200"/>
        <w:rPr>
          <w:rFonts w:ascii="方正仿宋简体" w:eastAsia="方正仿宋简体" w:hAnsiTheme="minorEastAsia"/>
          <w:color w:val="000000" w:themeColor="text1"/>
          <w:sz w:val="24"/>
          <w:szCs w:val="24"/>
          <w14:textFill>
            <w14:solidFill>
              <w14:schemeClr w14:val="tx1"/>
            </w14:solidFill>
          </w14:textFill>
        </w:rPr>
      </w:pPr>
      <w:r>
        <w:rPr>
          <w:rFonts w:hint="eastAsia" w:ascii="方正仿宋简体" w:eastAsia="方正仿宋简体" w:hAnsiTheme="minorEastAsia"/>
          <w:color w:val="000000" w:themeColor="text1"/>
          <w:sz w:val="24"/>
          <w:szCs w:val="24"/>
          <w14:textFill>
            <w14:solidFill>
              <w14:schemeClr w14:val="tx1"/>
            </w14:solidFill>
          </w14:textFill>
        </w:rPr>
        <w:t>学院面向全国12个省市招生，现有在校生14000余人，教职工636人，其中副教授及以上职称165人，在读博士6人，硕士研究生133人，“双师型”教师211人；全国优秀教师1人，兵团教学能手3人，兵团英才及师市拔尖人才7人。</w:t>
      </w:r>
    </w:p>
    <w:p>
      <w:pPr>
        <w:spacing w:line="360" w:lineRule="exact"/>
        <w:ind w:firstLine="480" w:firstLineChars="200"/>
        <w:rPr>
          <w:rFonts w:ascii="方正仿宋简体" w:eastAsia="方正仿宋简体"/>
          <w:color w:val="000000" w:themeColor="text1"/>
          <w:sz w:val="24"/>
          <w:szCs w:val="24"/>
          <w14:textFill>
            <w14:solidFill>
              <w14:schemeClr w14:val="tx1"/>
            </w14:solidFill>
          </w14:textFill>
        </w:rPr>
      </w:pPr>
      <w:r>
        <w:rPr>
          <w:rFonts w:hint="eastAsia" w:ascii="方正仿宋简体" w:eastAsia="方正仿宋简体"/>
          <w:color w:val="000000" w:themeColor="text1"/>
          <w:sz w:val="24"/>
          <w:szCs w:val="24"/>
          <w14:textFill>
            <w14:solidFill>
              <w14:schemeClr w14:val="tx1"/>
            </w14:solidFill>
          </w14:textFill>
        </w:rPr>
        <w:t>为提高学生职业技能水平，学院采取“以赛促教、以赛促学、以赛促练”的方式，大力支持和鼓励学生参加全国、自治区等各种级别技能大赛。2021年，学院参加第七届中国国际“互联网+”大学生创新创业大赛，荣获金、银、铜奖各1项，实现了新疆及兵团职教赛道金奖“零”的突破。在兵团第七届“互联网+”大学生创新创业大赛中荣获28个奖项。学院在全国职业院校技能大赛中获三等奖3个，</w:t>
      </w:r>
      <w:r>
        <w:rPr>
          <w:rFonts w:hint="eastAsia" w:ascii="方正仿宋简体" w:eastAsia="方正仿宋简体" w:hAnsiTheme="minorEastAsia"/>
          <w:color w:val="000000" w:themeColor="text1"/>
          <w:sz w:val="24"/>
          <w:szCs w:val="24"/>
          <w14:textFill>
            <w14:solidFill>
              <w14:schemeClr w14:val="tx1"/>
            </w14:solidFill>
          </w14:textFill>
        </w:rPr>
        <w:t>自治区（兵团）级奖项31个，</w:t>
      </w:r>
      <w:r>
        <w:rPr>
          <w:rFonts w:hint="eastAsia" w:ascii="方正仿宋简体" w:eastAsia="方正仿宋简体"/>
          <w:color w:val="000000" w:themeColor="text1"/>
          <w:sz w:val="24"/>
          <w:szCs w:val="24"/>
          <w14:textFill>
            <w14:solidFill>
              <w14:schemeClr w14:val="tx1"/>
            </w14:solidFill>
          </w14:textFill>
        </w:rPr>
        <w:t>一等奖8个，二等奖10个，三等奖13个。</w:t>
      </w:r>
    </w:p>
    <w:p>
      <w:pPr>
        <w:spacing w:line="360" w:lineRule="exact"/>
        <w:ind w:firstLine="480" w:firstLineChars="200"/>
        <w:rPr>
          <w:rFonts w:ascii="方正仿宋简体" w:eastAsia="方正仿宋简体" w:hAnsiTheme="minorEastAsia"/>
          <w:color w:val="000000" w:themeColor="text1"/>
          <w:sz w:val="24"/>
          <w:szCs w:val="24"/>
          <w14:textFill>
            <w14:solidFill>
              <w14:schemeClr w14:val="tx1"/>
            </w14:solidFill>
          </w14:textFill>
        </w:rPr>
      </w:pPr>
      <w:r>
        <w:rPr>
          <w:rFonts w:hint="eastAsia" w:ascii="方正仿宋简体" w:eastAsia="方正仿宋简体" w:hAnsiTheme="minorEastAsia"/>
          <w:color w:val="000000" w:themeColor="text1"/>
          <w:sz w:val="24"/>
          <w:szCs w:val="24"/>
          <w14:textFill>
            <w14:solidFill>
              <w14:schemeClr w14:val="tx1"/>
            </w14:solidFill>
          </w14:textFill>
        </w:rPr>
        <w:t>学院坚持内强外联，不断深化校企合作、产教融合。先后与区内外300多家企业签订合作协议，实现校企双主体育人。建成“1+X”省级考试中心2个，承接21个“1+X”证书试点，毕业生“双证率”达100%，就业率95.62%。依托石河子职教联盟，打造产业学院，先后与企业共建社会化服务平台和生产性实训基地38个，累计完成人才培养、社会培训和技能鉴定20余万人次。</w:t>
      </w:r>
    </w:p>
    <w:p>
      <w:pPr>
        <w:pStyle w:val="7"/>
        <w:shd w:val="clear" w:color="auto" w:fill="FFFFFF"/>
        <w:spacing w:before="0" w:beforeAutospacing="0" w:after="0" w:afterAutospacing="0" w:line="430" w:lineRule="exact"/>
        <w:jc w:val="center"/>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第一章  总则</w:t>
      </w:r>
    </w:p>
    <w:p>
      <w:pPr>
        <w:pStyle w:val="7"/>
        <w:shd w:val="clear" w:color="auto" w:fill="FFFFFF"/>
        <w:spacing w:before="0" w:beforeAutospacing="0" w:after="0" w:afterAutospacing="0" w:line="360" w:lineRule="exact"/>
        <w:ind w:firstLine="480" w:firstLineChars="2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按照《教育部关于做好2022年普通高校招生工作的通知》(教学[2022] 1号)、《关于做好2022年优秀中职毕业直升高职（专科）招生工作的通知》（新教函[2022]80号）有关要求，为进一步拓宽职业教育人才培养渠道，搭建职业教育人才培养“立交桥”，2022年我院继续开展优秀中职毕业生直升高职（专科）工作。我院本着公平竞争、公正选拔、公开透明、坚持全面考核、综合评价、择优录取的原则，结合实际情况，特制定新疆石河子职业技术学院2022年直升高职（专科）实施方案。</w:t>
      </w:r>
    </w:p>
    <w:p>
      <w:pPr>
        <w:pStyle w:val="7"/>
        <w:shd w:val="clear" w:color="auto" w:fill="FFFFFF"/>
        <w:spacing w:before="0" w:beforeAutospacing="0" w:after="0" w:afterAutospacing="0" w:line="360" w:lineRule="exact"/>
        <w:jc w:val="center"/>
        <w:rPr>
          <w:rFonts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第二章  招生专业、计划及收费标准</w:t>
      </w:r>
    </w:p>
    <w:p>
      <w:pPr>
        <w:pStyle w:val="7"/>
        <w:shd w:val="clear" w:color="auto" w:fill="FFFFFF"/>
        <w:spacing w:before="0" w:beforeAutospacing="0" w:after="0" w:afterAutospacing="0" w:line="36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今年我院直升高职（专科）计划450人，其中：普通类350人，单列类100人。分专业招生计划如下表：</w:t>
      </w:r>
    </w:p>
    <w:tbl>
      <w:tblPr>
        <w:tblStyle w:val="8"/>
        <w:tblW w:w="9699" w:type="dxa"/>
        <w:tblInd w:w="93" w:type="dxa"/>
        <w:tblLayout w:type="autofit"/>
        <w:tblCellMar>
          <w:top w:w="0" w:type="dxa"/>
          <w:left w:w="108" w:type="dxa"/>
          <w:bottom w:w="0" w:type="dxa"/>
          <w:right w:w="108" w:type="dxa"/>
        </w:tblCellMar>
      </w:tblPr>
      <w:tblGrid>
        <w:gridCol w:w="2748"/>
        <w:gridCol w:w="485"/>
        <w:gridCol w:w="856"/>
        <w:gridCol w:w="1006"/>
        <w:gridCol w:w="942"/>
        <w:gridCol w:w="1007"/>
        <w:gridCol w:w="2655"/>
      </w:tblGrid>
      <w:tr>
        <w:tblPrEx>
          <w:tblCellMar>
            <w:top w:w="0" w:type="dxa"/>
            <w:left w:w="108" w:type="dxa"/>
            <w:bottom w:w="0" w:type="dxa"/>
            <w:right w:w="108" w:type="dxa"/>
          </w:tblCellMar>
        </w:tblPrEx>
        <w:trPr>
          <w:trHeight w:val="301" w:hRule="atLeast"/>
        </w:trPr>
        <w:tc>
          <w:tcPr>
            <w:tcW w:w="274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专业名称</w:t>
            </w:r>
          </w:p>
        </w:tc>
        <w:tc>
          <w:tcPr>
            <w:tcW w:w="48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学制</w:t>
            </w:r>
          </w:p>
        </w:tc>
        <w:tc>
          <w:tcPr>
            <w:tcW w:w="856" w:type="dxa"/>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学费</w:t>
            </w:r>
          </w:p>
        </w:tc>
        <w:tc>
          <w:tcPr>
            <w:tcW w:w="2955"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计划数</w:t>
            </w:r>
          </w:p>
        </w:tc>
        <w:tc>
          <w:tcPr>
            <w:tcW w:w="265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备注</w:t>
            </w:r>
          </w:p>
        </w:tc>
      </w:tr>
      <w:tr>
        <w:tblPrEx>
          <w:tblCellMar>
            <w:top w:w="0" w:type="dxa"/>
            <w:left w:w="108" w:type="dxa"/>
            <w:bottom w:w="0" w:type="dxa"/>
            <w:right w:w="108" w:type="dxa"/>
          </w:tblCellMar>
        </w:tblPrEx>
        <w:trPr>
          <w:trHeight w:val="271" w:hRule="atLeast"/>
        </w:trPr>
        <w:tc>
          <w:tcPr>
            <w:tcW w:w="27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rPr>
            </w:pPr>
          </w:p>
        </w:tc>
        <w:tc>
          <w:tcPr>
            <w:tcW w:w="4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rPr>
            </w:pPr>
          </w:p>
        </w:tc>
        <w:tc>
          <w:tcPr>
            <w:tcW w:w="85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rPr>
            </w:pPr>
          </w:p>
        </w:tc>
        <w:tc>
          <w:tcPr>
            <w:tcW w:w="1006"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小计</w:t>
            </w:r>
          </w:p>
        </w:tc>
        <w:tc>
          <w:tcPr>
            <w:tcW w:w="942"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普通类</w:t>
            </w:r>
          </w:p>
        </w:tc>
        <w:tc>
          <w:tcPr>
            <w:tcW w:w="1006"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单列类</w:t>
            </w:r>
          </w:p>
        </w:tc>
        <w:tc>
          <w:tcPr>
            <w:tcW w:w="26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rPr>
            </w:pPr>
          </w:p>
        </w:tc>
      </w:tr>
      <w:tr>
        <w:tblPrEx>
          <w:tblCellMar>
            <w:top w:w="0" w:type="dxa"/>
            <w:left w:w="108" w:type="dxa"/>
            <w:bottom w:w="0" w:type="dxa"/>
            <w:right w:w="108" w:type="dxa"/>
          </w:tblCellMar>
        </w:tblPrEx>
        <w:trPr>
          <w:trHeight w:val="301" w:hRule="atLeast"/>
        </w:trPr>
        <w:tc>
          <w:tcPr>
            <w:tcW w:w="274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电力系统自动化技术</w:t>
            </w:r>
          </w:p>
        </w:tc>
        <w:tc>
          <w:tcPr>
            <w:tcW w:w="485"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Times New Roman"/>
                <w:color w:val="000000"/>
                <w:kern w:val="0"/>
                <w:sz w:val="22"/>
              </w:rPr>
            </w:pPr>
            <w:r>
              <w:rPr>
                <w:rFonts w:ascii="仿宋" w:hAnsi="仿宋" w:eastAsia="仿宋" w:cs="Times New Roman"/>
                <w:color w:val="000000"/>
                <w:kern w:val="0"/>
                <w:sz w:val="22"/>
              </w:rPr>
              <w:t>3</w:t>
            </w:r>
          </w:p>
        </w:tc>
        <w:tc>
          <w:tcPr>
            <w:tcW w:w="856"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Times New Roman"/>
                <w:color w:val="000000"/>
                <w:kern w:val="0"/>
                <w:sz w:val="22"/>
              </w:rPr>
            </w:pPr>
            <w:r>
              <w:rPr>
                <w:rFonts w:ascii="仿宋" w:hAnsi="仿宋" w:eastAsia="仿宋" w:cs="Times New Roman"/>
                <w:color w:val="000000"/>
                <w:kern w:val="0"/>
                <w:sz w:val="22"/>
              </w:rPr>
              <w:t>3300</w:t>
            </w:r>
          </w:p>
        </w:tc>
        <w:tc>
          <w:tcPr>
            <w:tcW w:w="100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20</w:t>
            </w:r>
          </w:p>
        </w:tc>
        <w:tc>
          <w:tcPr>
            <w:tcW w:w="942"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Times New Roman"/>
                <w:color w:val="000000"/>
                <w:kern w:val="0"/>
                <w:sz w:val="22"/>
              </w:rPr>
            </w:pPr>
            <w:r>
              <w:rPr>
                <w:rFonts w:ascii="仿宋" w:hAnsi="仿宋" w:eastAsia="仿宋" w:cs="Times New Roman"/>
                <w:color w:val="000000"/>
                <w:kern w:val="0"/>
                <w:sz w:val="22"/>
              </w:rPr>
              <w:t>16</w:t>
            </w:r>
          </w:p>
        </w:tc>
        <w:tc>
          <w:tcPr>
            <w:tcW w:w="1006"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Times New Roman"/>
                <w:color w:val="000000"/>
                <w:kern w:val="0"/>
                <w:sz w:val="22"/>
              </w:rPr>
            </w:pPr>
            <w:r>
              <w:rPr>
                <w:rFonts w:ascii="仿宋" w:hAnsi="仿宋" w:eastAsia="仿宋" w:cs="Times New Roman"/>
                <w:color w:val="000000"/>
                <w:kern w:val="0"/>
                <w:sz w:val="22"/>
              </w:rPr>
              <w:t>4</w:t>
            </w:r>
          </w:p>
        </w:tc>
        <w:tc>
          <w:tcPr>
            <w:tcW w:w="2655" w:type="dxa"/>
            <w:tcBorders>
              <w:top w:val="nil"/>
              <w:left w:val="nil"/>
              <w:bottom w:val="single" w:color="auto" w:sz="4" w:space="0"/>
              <w:right w:val="single" w:color="auto" w:sz="4" w:space="0"/>
            </w:tcBorders>
            <w:shd w:val="clear" w:color="auto" w:fill="auto"/>
            <w:noWrap/>
            <w:vAlign w:val="bottom"/>
          </w:tcPr>
          <w:p>
            <w:pPr>
              <w:widowControl/>
              <w:jc w:val="left"/>
              <w:rPr>
                <w:rFonts w:ascii="仿宋" w:hAnsi="仿宋" w:eastAsia="仿宋" w:cs="Times New Roman"/>
                <w:color w:val="000000"/>
                <w:kern w:val="0"/>
                <w:sz w:val="22"/>
              </w:rPr>
            </w:pPr>
            <w:r>
              <w:rPr>
                <w:rFonts w:ascii="仿宋" w:hAnsi="仿宋" w:eastAsia="仿宋" w:cs="Times New Roman"/>
                <w:color w:val="000000"/>
                <w:kern w:val="0"/>
                <w:sz w:val="22"/>
              </w:rPr>
              <w:t>　</w:t>
            </w:r>
          </w:p>
        </w:tc>
      </w:tr>
      <w:tr>
        <w:tblPrEx>
          <w:tblCellMar>
            <w:top w:w="0" w:type="dxa"/>
            <w:left w:w="108" w:type="dxa"/>
            <w:bottom w:w="0" w:type="dxa"/>
            <w:right w:w="108" w:type="dxa"/>
          </w:tblCellMar>
        </w:tblPrEx>
        <w:trPr>
          <w:trHeight w:val="301" w:hRule="atLeast"/>
        </w:trPr>
        <w:tc>
          <w:tcPr>
            <w:tcW w:w="274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机械制造及自动化</w:t>
            </w:r>
          </w:p>
        </w:tc>
        <w:tc>
          <w:tcPr>
            <w:tcW w:w="485"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Times New Roman"/>
                <w:color w:val="000000"/>
                <w:kern w:val="0"/>
                <w:sz w:val="22"/>
              </w:rPr>
            </w:pPr>
            <w:r>
              <w:rPr>
                <w:rFonts w:ascii="仿宋" w:hAnsi="仿宋" w:eastAsia="仿宋" w:cs="Times New Roman"/>
                <w:color w:val="000000"/>
                <w:kern w:val="0"/>
                <w:sz w:val="22"/>
              </w:rPr>
              <w:t>3</w:t>
            </w:r>
          </w:p>
        </w:tc>
        <w:tc>
          <w:tcPr>
            <w:tcW w:w="856"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Times New Roman"/>
                <w:color w:val="000000"/>
                <w:kern w:val="0"/>
                <w:sz w:val="22"/>
              </w:rPr>
            </w:pPr>
            <w:r>
              <w:rPr>
                <w:rFonts w:ascii="仿宋" w:hAnsi="仿宋" w:eastAsia="仿宋" w:cs="Times New Roman"/>
                <w:color w:val="000000"/>
                <w:kern w:val="0"/>
                <w:sz w:val="22"/>
              </w:rPr>
              <w:t>3300</w:t>
            </w:r>
          </w:p>
        </w:tc>
        <w:tc>
          <w:tcPr>
            <w:tcW w:w="100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10</w:t>
            </w:r>
          </w:p>
        </w:tc>
        <w:tc>
          <w:tcPr>
            <w:tcW w:w="942"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Times New Roman"/>
                <w:color w:val="000000"/>
                <w:kern w:val="0"/>
                <w:sz w:val="22"/>
              </w:rPr>
            </w:pPr>
            <w:r>
              <w:rPr>
                <w:rFonts w:ascii="仿宋" w:hAnsi="仿宋" w:eastAsia="仿宋" w:cs="Times New Roman"/>
                <w:color w:val="000000"/>
                <w:kern w:val="0"/>
                <w:sz w:val="22"/>
              </w:rPr>
              <w:t>7</w:t>
            </w:r>
          </w:p>
        </w:tc>
        <w:tc>
          <w:tcPr>
            <w:tcW w:w="1006"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Times New Roman"/>
                <w:color w:val="000000"/>
                <w:kern w:val="0"/>
                <w:sz w:val="22"/>
              </w:rPr>
            </w:pPr>
            <w:r>
              <w:rPr>
                <w:rFonts w:ascii="仿宋" w:hAnsi="仿宋" w:eastAsia="仿宋" w:cs="Times New Roman"/>
                <w:color w:val="000000"/>
                <w:kern w:val="0"/>
                <w:sz w:val="22"/>
              </w:rPr>
              <w:t>3</w:t>
            </w:r>
          </w:p>
        </w:tc>
        <w:tc>
          <w:tcPr>
            <w:tcW w:w="2655" w:type="dxa"/>
            <w:tcBorders>
              <w:top w:val="nil"/>
              <w:left w:val="nil"/>
              <w:bottom w:val="single" w:color="auto" w:sz="4" w:space="0"/>
              <w:right w:val="single" w:color="auto" w:sz="4" w:space="0"/>
            </w:tcBorders>
            <w:shd w:val="clear" w:color="auto" w:fill="auto"/>
            <w:noWrap/>
            <w:vAlign w:val="bottom"/>
          </w:tcPr>
          <w:p>
            <w:pPr>
              <w:widowControl/>
              <w:jc w:val="left"/>
              <w:rPr>
                <w:rFonts w:ascii="仿宋" w:hAnsi="仿宋" w:eastAsia="仿宋" w:cs="Times New Roman"/>
                <w:color w:val="000000"/>
                <w:kern w:val="0"/>
                <w:sz w:val="22"/>
              </w:rPr>
            </w:pPr>
            <w:r>
              <w:rPr>
                <w:rFonts w:ascii="仿宋" w:hAnsi="仿宋" w:eastAsia="仿宋" w:cs="Times New Roman"/>
                <w:color w:val="000000"/>
                <w:kern w:val="0"/>
                <w:sz w:val="22"/>
              </w:rPr>
              <w:t>　</w:t>
            </w:r>
          </w:p>
        </w:tc>
      </w:tr>
      <w:tr>
        <w:tblPrEx>
          <w:tblCellMar>
            <w:top w:w="0" w:type="dxa"/>
            <w:left w:w="108" w:type="dxa"/>
            <w:bottom w:w="0" w:type="dxa"/>
            <w:right w:w="108" w:type="dxa"/>
          </w:tblCellMar>
        </w:tblPrEx>
        <w:trPr>
          <w:trHeight w:val="301" w:hRule="atLeast"/>
        </w:trPr>
        <w:tc>
          <w:tcPr>
            <w:tcW w:w="274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智能焊接技术</w:t>
            </w:r>
          </w:p>
        </w:tc>
        <w:tc>
          <w:tcPr>
            <w:tcW w:w="485"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Times New Roman"/>
                <w:color w:val="000000"/>
                <w:kern w:val="0"/>
                <w:sz w:val="22"/>
              </w:rPr>
            </w:pPr>
            <w:r>
              <w:rPr>
                <w:rFonts w:ascii="仿宋" w:hAnsi="仿宋" w:eastAsia="仿宋" w:cs="Times New Roman"/>
                <w:color w:val="000000"/>
                <w:kern w:val="0"/>
                <w:sz w:val="22"/>
              </w:rPr>
              <w:t>3</w:t>
            </w:r>
          </w:p>
        </w:tc>
        <w:tc>
          <w:tcPr>
            <w:tcW w:w="856"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Times New Roman"/>
                <w:color w:val="000000"/>
                <w:kern w:val="0"/>
                <w:sz w:val="22"/>
              </w:rPr>
            </w:pPr>
            <w:r>
              <w:rPr>
                <w:rFonts w:ascii="仿宋" w:hAnsi="仿宋" w:eastAsia="仿宋" w:cs="Times New Roman"/>
                <w:color w:val="000000"/>
                <w:kern w:val="0"/>
                <w:sz w:val="22"/>
              </w:rPr>
              <w:t>3300</w:t>
            </w:r>
          </w:p>
        </w:tc>
        <w:tc>
          <w:tcPr>
            <w:tcW w:w="100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10</w:t>
            </w:r>
          </w:p>
        </w:tc>
        <w:tc>
          <w:tcPr>
            <w:tcW w:w="942"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Times New Roman"/>
                <w:color w:val="000000"/>
                <w:kern w:val="0"/>
                <w:sz w:val="22"/>
              </w:rPr>
            </w:pPr>
            <w:r>
              <w:rPr>
                <w:rFonts w:ascii="仿宋" w:hAnsi="仿宋" w:eastAsia="仿宋" w:cs="Times New Roman"/>
                <w:color w:val="000000"/>
                <w:kern w:val="0"/>
                <w:sz w:val="22"/>
              </w:rPr>
              <w:t>7</w:t>
            </w:r>
          </w:p>
        </w:tc>
        <w:tc>
          <w:tcPr>
            <w:tcW w:w="1006"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Times New Roman"/>
                <w:color w:val="000000"/>
                <w:kern w:val="0"/>
                <w:sz w:val="22"/>
              </w:rPr>
            </w:pPr>
            <w:r>
              <w:rPr>
                <w:rFonts w:ascii="仿宋" w:hAnsi="仿宋" w:eastAsia="仿宋" w:cs="Times New Roman"/>
                <w:color w:val="000000"/>
                <w:kern w:val="0"/>
                <w:sz w:val="22"/>
              </w:rPr>
              <w:t>3</w:t>
            </w:r>
          </w:p>
        </w:tc>
        <w:tc>
          <w:tcPr>
            <w:tcW w:w="2655" w:type="dxa"/>
            <w:tcBorders>
              <w:top w:val="nil"/>
              <w:left w:val="nil"/>
              <w:bottom w:val="single" w:color="auto" w:sz="4" w:space="0"/>
              <w:right w:val="single" w:color="auto" w:sz="4" w:space="0"/>
            </w:tcBorders>
            <w:shd w:val="clear" w:color="auto" w:fill="auto"/>
            <w:noWrap/>
            <w:vAlign w:val="bottom"/>
          </w:tcPr>
          <w:p>
            <w:pPr>
              <w:widowControl/>
              <w:jc w:val="left"/>
              <w:rPr>
                <w:rFonts w:ascii="仿宋" w:hAnsi="仿宋" w:eastAsia="仿宋" w:cs="Times New Roman"/>
                <w:color w:val="000000"/>
                <w:kern w:val="0"/>
                <w:sz w:val="22"/>
              </w:rPr>
            </w:pPr>
            <w:r>
              <w:rPr>
                <w:rFonts w:ascii="仿宋" w:hAnsi="仿宋" w:eastAsia="仿宋" w:cs="Times New Roman"/>
                <w:color w:val="000000"/>
                <w:kern w:val="0"/>
                <w:sz w:val="22"/>
              </w:rPr>
              <w:t>　</w:t>
            </w:r>
          </w:p>
        </w:tc>
      </w:tr>
      <w:tr>
        <w:tblPrEx>
          <w:tblCellMar>
            <w:top w:w="0" w:type="dxa"/>
            <w:left w:w="108" w:type="dxa"/>
            <w:bottom w:w="0" w:type="dxa"/>
            <w:right w:w="108" w:type="dxa"/>
          </w:tblCellMar>
        </w:tblPrEx>
        <w:trPr>
          <w:trHeight w:val="301" w:hRule="atLeast"/>
        </w:trPr>
        <w:tc>
          <w:tcPr>
            <w:tcW w:w="274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机电一体化技术</w:t>
            </w:r>
          </w:p>
        </w:tc>
        <w:tc>
          <w:tcPr>
            <w:tcW w:w="485"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Times New Roman"/>
                <w:color w:val="000000"/>
                <w:kern w:val="0"/>
                <w:sz w:val="22"/>
              </w:rPr>
            </w:pPr>
            <w:r>
              <w:rPr>
                <w:rFonts w:ascii="仿宋" w:hAnsi="仿宋" w:eastAsia="仿宋" w:cs="Times New Roman"/>
                <w:color w:val="000000"/>
                <w:kern w:val="0"/>
                <w:sz w:val="22"/>
              </w:rPr>
              <w:t>3</w:t>
            </w:r>
          </w:p>
        </w:tc>
        <w:tc>
          <w:tcPr>
            <w:tcW w:w="856"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Times New Roman"/>
                <w:color w:val="000000"/>
                <w:kern w:val="0"/>
                <w:sz w:val="22"/>
              </w:rPr>
            </w:pPr>
            <w:r>
              <w:rPr>
                <w:rFonts w:ascii="仿宋" w:hAnsi="仿宋" w:eastAsia="仿宋" w:cs="Times New Roman"/>
                <w:color w:val="000000"/>
                <w:kern w:val="0"/>
                <w:sz w:val="22"/>
              </w:rPr>
              <w:t>3300</w:t>
            </w:r>
          </w:p>
        </w:tc>
        <w:tc>
          <w:tcPr>
            <w:tcW w:w="100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20</w:t>
            </w:r>
          </w:p>
        </w:tc>
        <w:tc>
          <w:tcPr>
            <w:tcW w:w="942"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Times New Roman"/>
                <w:color w:val="000000"/>
                <w:kern w:val="0"/>
                <w:sz w:val="22"/>
              </w:rPr>
            </w:pPr>
            <w:r>
              <w:rPr>
                <w:rFonts w:ascii="仿宋" w:hAnsi="仿宋" w:eastAsia="仿宋" w:cs="Times New Roman"/>
                <w:color w:val="000000"/>
                <w:kern w:val="0"/>
                <w:sz w:val="22"/>
              </w:rPr>
              <w:t>16</w:t>
            </w:r>
          </w:p>
        </w:tc>
        <w:tc>
          <w:tcPr>
            <w:tcW w:w="1006"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Times New Roman"/>
                <w:color w:val="000000"/>
                <w:kern w:val="0"/>
                <w:sz w:val="22"/>
              </w:rPr>
            </w:pPr>
            <w:r>
              <w:rPr>
                <w:rFonts w:ascii="仿宋" w:hAnsi="仿宋" w:eastAsia="仿宋" w:cs="Times New Roman"/>
                <w:color w:val="000000"/>
                <w:kern w:val="0"/>
                <w:sz w:val="22"/>
              </w:rPr>
              <w:t>4</w:t>
            </w:r>
          </w:p>
        </w:tc>
        <w:tc>
          <w:tcPr>
            <w:tcW w:w="2655" w:type="dxa"/>
            <w:tcBorders>
              <w:top w:val="nil"/>
              <w:left w:val="nil"/>
              <w:bottom w:val="single" w:color="auto" w:sz="4" w:space="0"/>
              <w:right w:val="single" w:color="auto" w:sz="4" w:space="0"/>
            </w:tcBorders>
            <w:shd w:val="clear" w:color="auto" w:fill="auto"/>
            <w:noWrap/>
            <w:vAlign w:val="bottom"/>
          </w:tcPr>
          <w:p>
            <w:pPr>
              <w:widowControl/>
              <w:jc w:val="left"/>
              <w:rPr>
                <w:rFonts w:ascii="仿宋" w:hAnsi="仿宋" w:eastAsia="仿宋" w:cs="Times New Roman"/>
                <w:color w:val="000000"/>
                <w:kern w:val="0"/>
                <w:sz w:val="22"/>
              </w:rPr>
            </w:pPr>
            <w:r>
              <w:rPr>
                <w:rFonts w:ascii="仿宋" w:hAnsi="仿宋" w:eastAsia="仿宋" w:cs="Times New Roman"/>
                <w:color w:val="000000"/>
                <w:kern w:val="0"/>
                <w:sz w:val="22"/>
              </w:rPr>
              <w:t>　</w:t>
            </w:r>
          </w:p>
        </w:tc>
      </w:tr>
      <w:tr>
        <w:tblPrEx>
          <w:tblCellMar>
            <w:top w:w="0" w:type="dxa"/>
            <w:left w:w="108" w:type="dxa"/>
            <w:bottom w:w="0" w:type="dxa"/>
            <w:right w:w="108" w:type="dxa"/>
          </w:tblCellMar>
        </w:tblPrEx>
        <w:trPr>
          <w:trHeight w:val="301" w:hRule="atLeast"/>
        </w:trPr>
        <w:tc>
          <w:tcPr>
            <w:tcW w:w="274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电气自动化技术</w:t>
            </w:r>
          </w:p>
        </w:tc>
        <w:tc>
          <w:tcPr>
            <w:tcW w:w="485"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Times New Roman"/>
                <w:color w:val="000000"/>
                <w:kern w:val="0"/>
                <w:sz w:val="22"/>
              </w:rPr>
            </w:pPr>
            <w:r>
              <w:rPr>
                <w:rFonts w:ascii="仿宋" w:hAnsi="仿宋" w:eastAsia="仿宋" w:cs="Times New Roman"/>
                <w:color w:val="000000"/>
                <w:kern w:val="0"/>
                <w:sz w:val="22"/>
              </w:rPr>
              <w:t>3</w:t>
            </w:r>
          </w:p>
        </w:tc>
        <w:tc>
          <w:tcPr>
            <w:tcW w:w="856"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Times New Roman"/>
                <w:color w:val="000000"/>
                <w:kern w:val="0"/>
                <w:sz w:val="22"/>
              </w:rPr>
            </w:pPr>
            <w:r>
              <w:rPr>
                <w:rFonts w:ascii="仿宋" w:hAnsi="仿宋" w:eastAsia="仿宋" w:cs="Times New Roman"/>
                <w:color w:val="000000"/>
                <w:kern w:val="0"/>
                <w:sz w:val="22"/>
              </w:rPr>
              <w:t>3300</w:t>
            </w:r>
          </w:p>
        </w:tc>
        <w:tc>
          <w:tcPr>
            <w:tcW w:w="100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20</w:t>
            </w:r>
          </w:p>
        </w:tc>
        <w:tc>
          <w:tcPr>
            <w:tcW w:w="942"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Times New Roman"/>
                <w:color w:val="000000"/>
                <w:kern w:val="0"/>
                <w:sz w:val="22"/>
              </w:rPr>
            </w:pPr>
            <w:r>
              <w:rPr>
                <w:rFonts w:ascii="仿宋" w:hAnsi="仿宋" w:eastAsia="仿宋" w:cs="Times New Roman"/>
                <w:color w:val="000000"/>
                <w:kern w:val="0"/>
                <w:sz w:val="22"/>
              </w:rPr>
              <w:t>16</w:t>
            </w:r>
          </w:p>
        </w:tc>
        <w:tc>
          <w:tcPr>
            <w:tcW w:w="1006"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Times New Roman"/>
                <w:color w:val="000000"/>
                <w:kern w:val="0"/>
                <w:sz w:val="22"/>
              </w:rPr>
            </w:pPr>
            <w:r>
              <w:rPr>
                <w:rFonts w:ascii="仿宋" w:hAnsi="仿宋" w:eastAsia="仿宋" w:cs="Times New Roman"/>
                <w:color w:val="000000"/>
                <w:kern w:val="0"/>
                <w:sz w:val="22"/>
              </w:rPr>
              <w:t>4</w:t>
            </w:r>
          </w:p>
        </w:tc>
        <w:tc>
          <w:tcPr>
            <w:tcW w:w="2655" w:type="dxa"/>
            <w:tcBorders>
              <w:top w:val="nil"/>
              <w:left w:val="nil"/>
              <w:bottom w:val="single" w:color="auto" w:sz="4" w:space="0"/>
              <w:right w:val="single" w:color="auto" w:sz="4" w:space="0"/>
            </w:tcBorders>
            <w:shd w:val="clear" w:color="auto" w:fill="auto"/>
            <w:noWrap/>
            <w:vAlign w:val="bottom"/>
          </w:tcPr>
          <w:p>
            <w:pPr>
              <w:widowControl/>
              <w:jc w:val="left"/>
              <w:rPr>
                <w:rFonts w:ascii="仿宋" w:hAnsi="仿宋" w:eastAsia="仿宋" w:cs="Times New Roman"/>
                <w:color w:val="000000"/>
                <w:kern w:val="0"/>
                <w:sz w:val="22"/>
              </w:rPr>
            </w:pPr>
            <w:r>
              <w:rPr>
                <w:rFonts w:ascii="仿宋" w:hAnsi="仿宋" w:eastAsia="仿宋" w:cs="Times New Roman"/>
                <w:color w:val="000000"/>
                <w:kern w:val="0"/>
                <w:sz w:val="22"/>
              </w:rPr>
              <w:t>　</w:t>
            </w:r>
          </w:p>
        </w:tc>
      </w:tr>
      <w:tr>
        <w:tblPrEx>
          <w:tblCellMar>
            <w:top w:w="0" w:type="dxa"/>
            <w:left w:w="108" w:type="dxa"/>
            <w:bottom w:w="0" w:type="dxa"/>
            <w:right w:w="108" w:type="dxa"/>
          </w:tblCellMar>
        </w:tblPrEx>
        <w:trPr>
          <w:trHeight w:val="301" w:hRule="atLeast"/>
        </w:trPr>
        <w:tc>
          <w:tcPr>
            <w:tcW w:w="274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汽车检测与维修技术</w:t>
            </w:r>
          </w:p>
        </w:tc>
        <w:tc>
          <w:tcPr>
            <w:tcW w:w="485"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Times New Roman"/>
                <w:color w:val="000000"/>
                <w:kern w:val="0"/>
                <w:sz w:val="22"/>
              </w:rPr>
            </w:pPr>
            <w:r>
              <w:rPr>
                <w:rFonts w:ascii="仿宋" w:hAnsi="仿宋" w:eastAsia="仿宋" w:cs="Times New Roman"/>
                <w:color w:val="000000"/>
                <w:kern w:val="0"/>
                <w:sz w:val="22"/>
              </w:rPr>
              <w:t>3</w:t>
            </w:r>
          </w:p>
        </w:tc>
        <w:tc>
          <w:tcPr>
            <w:tcW w:w="856"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Times New Roman"/>
                <w:color w:val="000000"/>
                <w:kern w:val="0"/>
                <w:sz w:val="22"/>
              </w:rPr>
            </w:pPr>
            <w:r>
              <w:rPr>
                <w:rFonts w:ascii="仿宋" w:hAnsi="仿宋" w:eastAsia="仿宋" w:cs="Times New Roman"/>
                <w:color w:val="000000"/>
                <w:kern w:val="0"/>
                <w:sz w:val="22"/>
              </w:rPr>
              <w:t>3300</w:t>
            </w:r>
          </w:p>
        </w:tc>
        <w:tc>
          <w:tcPr>
            <w:tcW w:w="100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10</w:t>
            </w:r>
          </w:p>
        </w:tc>
        <w:tc>
          <w:tcPr>
            <w:tcW w:w="942"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Times New Roman"/>
                <w:color w:val="000000"/>
                <w:kern w:val="0"/>
                <w:sz w:val="22"/>
              </w:rPr>
            </w:pPr>
            <w:r>
              <w:rPr>
                <w:rFonts w:ascii="仿宋" w:hAnsi="仿宋" w:eastAsia="仿宋" w:cs="Times New Roman"/>
                <w:color w:val="000000"/>
                <w:kern w:val="0"/>
                <w:sz w:val="22"/>
              </w:rPr>
              <w:t>7</w:t>
            </w:r>
          </w:p>
        </w:tc>
        <w:tc>
          <w:tcPr>
            <w:tcW w:w="1006"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Times New Roman"/>
                <w:color w:val="000000"/>
                <w:kern w:val="0"/>
                <w:sz w:val="22"/>
              </w:rPr>
            </w:pPr>
            <w:r>
              <w:rPr>
                <w:rFonts w:ascii="仿宋" w:hAnsi="仿宋" w:eastAsia="仿宋" w:cs="Times New Roman"/>
                <w:color w:val="000000"/>
                <w:kern w:val="0"/>
                <w:sz w:val="22"/>
              </w:rPr>
              <w:t>3</w:t>
            </w:r>
          </w:p>
        </w:tc>
        <w:tc>
          <w:tcPr>
            <w:tcW w:w="2655" w:type="dxa"/>
            <w:tcBorders>
              <w:top w:val="nil"/>
              <w:left w:val="nil"/>
              <w:bottom w:val="single" w:color="auto" w:sz="4" w:space="0"/>
              <w:right w:val="single" w:color="auto" w:sz="4" w:space="0"/>
            </w:tcBorders>
            <w:shd w:val="clear" w:color="auto" w:fill="auto"/>
            <w:noWrap/>
            <w:vAlign w:val="bottom"/>
          </w:tcPr>
          <w:p>
            <w:pPr>
              <w:widowControl/>
              <w:jc w:val="left"/>
              <w:rPr>
                <w:rFonts w:ascii="仿宋" w:hAnsi="仿宋" w:eastAsia="仿宋" w:cs="Times New Roman"/>
                <w:color w:val="000000"/>
                <w:kern w:val="0"/>
                <w:sz w:val="22"/>
              </w:rPr>
            </w:pPr>
            <w:r>
              <w:rPr>
                <w:rFonts w:ascii="仿宋" w:hAnsi="仿宋" w:eastAsia="仿宋" w:cs="Times New Roman"/>
                <w:color w:val="000000"/>
                <w:kern w:val="0"/>
                <w:sz w:val="22"/>
              </w:rPr>
              <w:t>　</w:t>
            </w:r>
          </w:p>
        </w:tc>
      </w:tr>
      <w:tr>
        <w:tblPrEx>
          <w:tblCellMar>
            <w:top w:w="0" w:type="dxa"/>
            <w:left w:w="108" w:type="dxa"/>
            <w:bottom w:w="0" w:type="dxa"/>
            <w:right w:w="108" w:type="dxa"/>
          </w:tblCellMar>
        </w:tblPrEx>
        <w:trPr>
          <w:trHeight w:val="301" w:hRule="atLeast"/>
        </w:trPr>
        <w:tc>
          <w:tcPr>
            <w:tcW w:w="274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护理</w:t>
            </w:r>
          </w:p>
        </w:tc>
        <w:tc>
          <w:tcPr>
            <w:tcW w:w="485"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Times New Roman"/>
                <w:color w:val="000000"/>
                <w:kern w:val="0"/>
                <w:sz w:val="22"/>
              </w:rPr>
            </w:pPr>
            <w:r>
              <w:rPr>
                <w:rFonts w:ascii="仿宋" w:hAnsi="仿宋" w:eastAsia="仿宋" w:cs="Times New Roman"/>
                <w:color w:val="000000"/>
                <w:kern w:val="0"/>
                <w:sz w:val="22"/>
              </w:rPr>
              <w:t>3</w:t>
            </w:r>
          </w:p>
        </w:tc>
        <w:tc>
          <w:tcPr>
            <w:tcW w:w="856"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Times New Roman"/>
                <w:color w:val="000000"/>
                <w:kern w:val="0"/>
                <w:sz w:val="22"/>
              </w:rPr>
            </w:pPr>
            <w:r>
              <w:rPr>
                <w:rFonts w:ascii="仿宋" w:hAnsi="仿宋" w:eastAsia="仿宋" w:cs="Times New Roman"/>
                <w:color w:val="000000"/>
                <w:kern w:val="0"/>
                <w:sz w:val="22"/>
              </w:rPr>
              <w:t>3900</w:t>
            </w:r>
          </w:p>
        </w:tc>
        <w:tc>
          <w:tcPr>
            <w:tcW w:w="100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50</w:t>
            </w:r>
          </w:p>
        </w:tc>
        <w:tc>
          <w:tcPr>
            <w:tcW w:w="942"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Times New Roman"/>
                <w:color w:val="000000"/>
                <w:kern w:val="0"/>
                <w:sz w:val="22"/>
              </w:rPr>
            </w:pPr>
            <w:r>
              <w:rPr>
                <w:rFonts w:ascii="仿宋" w:hAnsi="仿宋" w:eastAsia="仿宋" w:cs="Times New Roman"/>
                <w:color w:val="000000"/>
                <w:kern w:val="0"/>
                <w:sz w:val="22"/>
              </w:rPr>
              <w:t>45</w:t>
            </w:r>
          </w:p>
        </w:tc>
        <w:tc>
          <w:tcPr>
            <w:tcW w:w="1006"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Times New Roman"/>
                <w:color w:val="000000"/>
                <w:kern w:val="0"/>
                <w:sz w:val="22"/>
              </w:rPr>
            </w:pPr>
            <w:r>
              <w:rPr>
                <w:rFonts w:ascii="仿宋" w:hAnsi="仿宋" w:eastAsia="仿宋" w:cs="Times New Roman"/>
                <w:color w:val="000000"/>
                <w:kern w:val="0"/>
                <w:sz w:val="22"/>
              </w:rPr>
              <w:t>5</w:t>
            </w:r>
          </w:p>
        </w:tc>
        <w:tc>
          <w:tcPr>
            <w:tcW w:w="2655" w:type="dxa"/>
            <w:tcBorders>
              <w:top w:val="nil"/>
              <w:left w:val="nil"/>
              <w:bottom w:val="single" w:color="auto" w:sz="4" w:space="0"/>
              <w:right w:val="single" w:color="auto" w:sz="4" w:space="0"/>
            </w:tcBorders>
            <w:shd w:val="clear" w:color="auto" w:fill="auto"/>
            <w:noWrap/>
            <w:vAlign w:val="bottom"/>
          </w:tcPr>
          <w:p>
            <w:pPr>
              <w:widowControl/>
              <w:jc w:val="left"/>
              <w:rPr>
                <w:rFonts w:ascii="仿宋" w:hAnsi="仿宋" w:eastAsia="仿宋" w:cs="Times New Roman"/>
                <w:color w:val="000000"/>
                <w:kern w:val="0"/>
                <w:sz w:val="22"/>
              </w:rPr>
            </w:pPr>
            <w:r>
              <w:rPr>
                <w:rFonts w:ascii="仿宋" w:hAnsi="仿宋" w:eastAsia="仿宋" w:cs="Times New Roman"/>
                <w:color w:val="000000"/>
                <w:kern w:val="0"/>
                <w:sz w:val="22"/>
              </w:rPr>
              <w:t>　</w:t>
            </w:r>
          </w:p>
        </w:tc>
      </w:tr>
      <w:tr>
        <w:tblPrEx>
          <w:tblCellMar>
            <w:top w:w="0" w:type="dxa"/>
            <w:left w:w="108" w:type="dxa"/>
            <w:bottom w:w="0" w:type="dxa"/>
            <w:right w:w="108" w:type="dxa"/>
          </w:tblCellMar>
        </w:tblPrEx>
        <w:trPr>
          <w:trHeight w:val="301" w:hRule="atLeast"/>
        </w:trPr>
        <w:tc>
          <w:tcPr>
            <w:tcW w:w="274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大数据与会计</w:t>
            </w:r>
          </w:p>
        </w:tc>
        <w:tc>
          <w:tcPr>
            <w:tcW w:w="485"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Times New Roman"/>
                <w:color w:val="000000"/>
                <w:kern w:val="0"/>
                <w:sz w:val="22"/>
              </w:rPr>
            </w:pPr>
            <w:r>
              <w:rPr>
                <w:rFonts w:ascii="仿宋" w:hAnsi="仿宋" w:eastAsia="仿宋" w:cs="Times New Roman"/>
                <w:color w:val="000000"/>
                <w:kern w:val="0"/>
                <w:sz w:val="22"/>
              </w:rPr>
              <w:t>3</w:t>
            </w:r>
          </w:p>
        </w:tc>
        <w:tc>
          <w:tcPr>
            <w:tcW w:w="856"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Times New Roman"/>
                <w:color w:val="000000"/>
                <w:kern w:val="0"/>
                <w:sz w:val="22"/>
              </w:rPr>
            </w:pPr>
            <w:r>
              <w:rPr>
                <w:rFonts w:ascii="仿宋" w:hAnsi="仿宋" w:eastAsia="仿宋" w:cs="Times New Roman"/>
                <w:color w:val="000000"/>
                <w:kern w:val="0"/>
                <w:sz w:val="22"/>
              </w:rPr>
              <w:t>3000</w:t>
            </w:r>
          </w:p>
        </w:tc>
        <w:tc>
          <w:tcPr>
            <w:tcW w:w="100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30</w:t>
            </w:r>
          </w:p>
        </w:tc>
        <w:tc>
          <w:tcPr>
            <w:tcW w:w="942"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Times New Roman"/>
                <w:color w:val="000000"/>
                <w:kern w:val="0"/>
                <w:sz w:val="22"/>
              </w:rPr>
            </w:pPr>
            <w:r>
              <w:rPr>
                <w:rFonts w:ascii="仿宋" w:hAnsi="仿宋" w:eastAsia="仿宋" w:cs="Times New Roman"/>
                <w:color w:val="000000"/>
                <w:kern w:val="0"/>
                <w:sz w:val="22"/>
              </w:rPr>
              <w:t>25</w:t>
            </w:r>
          </w:p>
        </w:tc>
        <w:tc>
          <w:tcPr>
            <w:tcW w:w="1006"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Times New Roman"/>
                <w:color w:val="000000"/>
                <w:kern w:val="0"/>
                <w:sz w:val="22"/>
              </w:rPr>
            </w:pPr>
            <w:r>
              <w:rPr>
                <w:rFonts w:ascii="仿宋" w:hAnsi="仿宋" w:eastAsia="仿宋" w:cs="Times New Roman"/>
                <w:color w:val="000000"/>
                <w:kern w:val="0"/>
                <w:sz w:val="22"/>
              </w:rPr>
              <w:t>5</w:t>
            </w:r>
          </w:p>
        </w:tc>
        <w:tc>
          <w:tcPr>
            <w:tcW w:w="2655" w:type="dxa"/>
            <w:tcBorders>
              <w:top w:val="nil"/>
              <w:left w:val="nil"/>
              <w:bottom w:val="single" w:color="auto" w:sz="4" w:space="0"/>
              <w:right w:val="single" w:color="auto" w:sz="4" w:space="0"/>
            </w:tcBorders>
            <w:shd w:val="clear" w:color="auto" w:fill="auto"/>
            <w:noWrap/>
            <w:vAlign w:val="bottom"/>
          </w:tcPr>
          <w:p>
            <w:pPr>
              <w:widowControl/>
              <w:jc w:val="left"/>
              <w:rPr>
                <w:rFonts w:ascii="仿宋" w:hAnsi="仿宋" w:eastAsia="仿宋" w:cs="Times New Roman"/>
                <w:color w:val="000000"/>
                <w:kern w:val="0"/>
                <w:sz w:val="22"/>
              </w:rPr>
            </w:pPr>
            <w:r>
              <w:rPr>
                <w:rFonts w:ascii="仿宋" w:hAnsi="仿宋" w:eastAsia="仿宋" w:cs="Times New Roman"/>
                <w:color w:val="000000"/>
                <w:kern w:val="0"/>
                <w:sz w:val="22"/>
              </w:rPr>
              <w:t>　</w:t>
            </w:r>
          </w:p>
        </w:tc>
      </w:tr>
      <w:tr>
        <w:tblPrEx>
          <w:tblCellMar>
            <w:top w:w="0" w:type="dxa"/>
            <w:left w:w="108" w:type="dxa"/>
            <w:bottom w:w="0" w:type="dxa"/>
            <w:right w:w="108" w:type="dxa"/>
          </w:tblCellMar>
        </w:tblPrEx>
        <w:trPr>
          <w:trHeight w:val="301" w:hRule="atLeast"/>
        </w:trPr>
        <w:tc>
          <w:tcPr>
            <w:tcW w:w="274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市场营销</w:t>
            </w:r>
          </w:p>
        </w:tc>
        <w:tc>
          <w:tcPr>
            <w:tcW w:w="485"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Times New Roman"/>
                <w:color w:val="000000"/>
                <w:kern w:val="0"/>
                <w:sz w:val="22"/>
              </w:rPr>
            </w:pPr>
            <w:r>
              <w:rPr>
                <w:rFonts w:ascii="仿宋" w:hAnsi="仿宋" w:eastAsia="仿宋" w:cs="Times New Roman"/>
                <w:color w:val="000000"/>
                <w:kern w:val="0"/>
                <w:sz w:val="22"/>
              </w:rPr>
              <w:t>3</w:t>
            </w:r>
          </w:p>
        </w:tc>
        <w:tc>
          <w:tcPr>
            <w:tcW w:w="856"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Times New Roman"/>
                <w:color w:val="000000"/>
                <w:kern w:val="0"/>
                <w:sz w:val="22"/>
              </w:rPr>
            </w:pPr>
            <w:r>
              <w:rPr>
                <w:rFonts w:ascii="仿宋" w:hAnsi="仿宋" w:eastAsia="仿宋" w:cs="Times New Roman"/>
                <w:color w:val="000000"/>
                <w:kern w:val="0"/>
                <w:sz w:val="22"/>
              </w:rPr>
              <w:t>3000</w:t>
            </w:r>
          </w:p>
        </w:tc>
        <w:tc>
          <w:tcPr>
            <w:tcW w:w="100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20</w:t>
            </w:r>
          </w:p>
        </w:tc>
        <w:tc>
          <w:tcPr>
            <w:tcW w:w="942"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Times New Roman"/>
                <w:color w:val="000000"/>
                <w:kern w:val="0"/>
                <w:sz w:val="22"/>
              </w:rPr>
            </w:pPr>
            <w:r>
              <w:rPr>
                <w:rFonts w:ascii="仿宋" w:hAnsi="仿宋" w:eastAsia="仿宋" w:cs="Times New Roman"/>
                <w:color w:val="000000"/>
                <w:kern w:val="0"/>
                <w:sz w:val="22"/>
              </w:rPr>
              <w:t>16</w:t>
            </w:r>
          </w:p>
        </w:tc>
        <w:tc>
          <w:tcPr>
            <w:tcW w:w="1006"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Times New Roman"/>
                <w:color w:val="000000"/>
                <w:kern w:val="0"/>
                <w:sz w:val="22"/>
              </w:rPr>
            </w:pPr>
            <w:r>
              <w:rPr>
                <w:rFonts w:ascii="仿宋" w:hAnsi="仿宋" w:eastAsia="仿宋" w:cs="Times New Roman"/>
                <w:color w:val="000000"/>
                <w:kern w:val="0"/>
                <w:sz w:val="22"/>
              </w:rPr>
              <w:t>4</w:t>
            </w:r>
          </w:p>
        </w:tc>
        <w:tc>
          <w:tcPr>
            <w:tcW w:w="2655" w:type="dxa"/>
            <w:tcBorders>
              <w:top w:val="nil"/>
              <w:left w:val="nil"/>
              <w:bottom w:val="single" w:color="auto" w:sz="4" w:space="0"/>
              <w:right w:val="single" w:color="auto" w:sz="4" w:space="0"/>
            </w:tcBorders>
            <w:shd w:val="clear" w:color="auto" w:fill="auto"/>
            <w:noWrap/>
            <w:vAlign w:val="bottom"/>
          </w:tcPr>
          <w:p>
            <w:pPr>
              <w:widowControl/>
              <w:jc w:val="left"/>
              <w:rPr>
                <w:rFonts w:ascii="仿宋" w:hAnsi="仿宋" w:eastAsia="仿宋" w:cs="Times New Roman"/>
                <w:color w:val="000000"/>
                <w:kern w:val="0"/>
                <w:sz w:val="22"/>
              </w:rPr>
            </w:pPr>
            <w:r>
              <w:rPr>
                <w:rFonts w:ascii="仿宋" w:hAnsi="仿宋" w:eastAsia="仿宋" w:cs="Times New Roman"/>
                <w:color w:val="000000"/>
                <w:kern w:val="0"/>
                <w:sz w:val="22"/>
              </w:rPr>
              <w:t>　</w:t>
            </w:r>
          </w:p>
        </w:tc>
      </w:tr>
      <w:tr>
        <w:tblPrEx>
          <w:tblCellMar>
            <w:top w:w="0" w:type="dxa"/>
            <w:left w:w="108" w:type="dxa"/>
            <w:bottom w:w="0" w:type="dxa"/>
            <w:right w:w="108" w:type="dxa"/>
          </w:tblCellMar>
        </w:tblPrEx>
        <w:trPr>
          <w:trHeight w:val="301" w:hRule="atLeast"/>
        </w:trPr>
        <w:tc>
          <w:tcPr>
            <w:tcW w:w="274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现代物流管理</w:t>
            </w:r>
          </w:p>
        </w:tc>
        <w:tc>
          <w:tcPr>
            <w:tcW w:w="485"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Times New Roman"/>
                <w:color w:val="000000"/>
                <w:kern w:val="0"/>
                <w:sz w:val="22"/>
              </w:rPr>
            </w:pPr>
            <w:r>
              <w:rPr>
                <w:rFonts w:ascii="仿宋" w:hAnsi="仿宋" w:eastAsia="仿宋" w:cs="Times New Roman"/>
                <w:color w:val="000000"/>
                <w:kern w:val="0"/>
                <w:sz w:val="22"/>
              </w:rPr>
              <w:t>3</w:t>
            </w:r>
          </w:p>
        </w:tc>
        <w:tc>
          <w:tcPr>
            <w:tcW w:w="856"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Times New Roman"/>
                <w:color w:val="000000"/>
                <w:kern w:val="0"/>
                <w:sz w:val="22"/>
              </w:rPr>
            </w:pPr>
            <w:r>
              <w:rPr>
                <w:rFonts w:ascii="仿宋" w:hAnsi="仿宋" w:eastAsia="仿宋" w:cs="Times New Roman"/>
                <w:color w:val="000000"/>
                <w:kern w:val="0"/>
                <w:sz w:val="22"/>
              </w:rPr>
              <w:t>3000</w:t>
            </w:r>
          </w:p>
        </w:tc>
        <w:tc>
          <w:tcPr>
            <w:tcW w:w="100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20</w:t>
            </w:r>
          </w:p>
        </w:tc>
        <w:tc>
          <w:tcPr>
            <w:tcW w:w="942"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Times New Roman"/>
                <w:color w:val="000000"/>
                <w:kern w:val="0"/>
                <w:sz w:val="22"/>
              </w:rPr>
            </w:pPr>
            <w:r>
              <w:rPr>
                <w:rFonts w:ascii="仿宋" w:hAnsi="仿宋" w:eastAsia="仿宋" w:cs="Times New Roman"/>
                <w:color w:val="000000"/>
                <w:kern w:val="0"/>
                <w:sz w:val="22"/>
              </w:rPr>
              <w:t>15</w:t>
            </w:r>
          </w:p>
        </w:tc>
        <w:tc>
          <w:tcPr>
            <w:tcW w:w="1006"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Times New Roman"/>
                <w:color w:val="000000"/>
                <w:kern w:val="0"/>
                <w:sz w:val="22"/>
              </w:rPr>
            </w:pPr>
            <w:r>
              <w:rPr>
                <w:rFonts w:ascii="仿宋" w:hAnsi="仿宋" w:eastAsia="仿宋" w:cs="Times New Roman"/>
                <w:color w:val="000000"/>
                <w:kern w:val="0"/>
                <w:sz w:val="22"/>
              </w:rPr>
              <w:t>5</w:t>
            </w:r>
          </w:p>
        </w:tc>
        <w:tc>
          <w:tcPr>
            <w:tcW w:w="2655" w:type="dxa"/>
            <w:tcBorders>
              <w:top w:val="nil"/>
              <w:left w:val="nil"/>
              <w:bottom w:val="single" w:color="auto" w:sz="4" w:space="0"/>
              <w:right w:val="single" w:color="auto" w:sz="4" w:space="0"/>
            </w:tcBorders>
            <w:shd w:val="clear" w:color="auto" w:fill="auto"/>
            <w:noWrap/>
            <w:vAlign w:val="bottom"/>
          </w:tcPr>
          <w:p>
            <w:pPr>
              <w:widowControl/>
              <w:jc w:val="left"/>
              <w:rPr>
                <w:rFonts w:ascii="仿宋" w:hAnsi="仿宋" w:eastAsia="仿宋" w:cs="Times New Roman"/>
                <w:color w:val="000000"/>
                <w:kern w:val="0"/>
                <w:sz w:val="22"/>
              </w:rPr>
            </w:pPr>
            <w:r>
              <w:rPr>
                <w:rFonts w:ascii="仿宋" w:hAnsi="仿宋" w:eastAsia="仿宋" w:cs="Times New Roman"/>
                <w:color w:val="000000"/>
                <w:kern w:val="0"/>
                <w:sz w:val="22"/>
              </w:rPr>
              <w:t>　</w:t>
            </w:r>
          </w:p>
        </w:tc>
      </w:tr>
      <w:tr>
        <w:tblPrEx>
          <w:tblCellMar>
            <w:top w:w="0" w:type="dxa"/>
            <w:left w:w="108" w:type="dxa"/>
            <w:bottom w:w="0" w:type="dxa"/>
            <w:right w:w="108" w:type="dxa"/>
          </w:tblCellMar>
        </w:tblPrEx>
        <w:trPr>
          <w:trHeight w:val="301" w:hRule="atLeast"/>
        </w:trPr>
        <w:tc>
          <w:tcPr>
            <w:tcW w:w="274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旅游管理</w:t>
            </w:r>
          </w:p>
        </w:tc>
        <w:tc>
          <w:tcPr>
            <w:tcW w:w="485"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Times New Roman"/>
                <w:color w:val="000000"/>
                <w:kern w:val="0"/>
                <w:sz w:val="22"/>
              </w:rPr>
            </w:pPr>
            <w:r>
              <w:rPr>
                <w:rFonts w:ascii="仿宋" w:hAnsi="仿宋" w:eastAsia="仿宋" w:cs="Times New Roman"/>
                <w:color w:val="000000"/>
                <w:kern w:val="0"/>
                <w:sz w:val="22"/>
              </w:rPr>
              <w:t>3</w:t>
            </w:r>
          </w:p>
        </w:tc>
        <w:tc>
          <w:tcPr>
            <w:tcW w:w="856"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Times New Roman"/>
                <w:color w:val="000000"/>
                <w:kern w:val="0"/>
                <w:sz w:val="22"/>
              </w:rPr>
            </w:pPr>
            <w:r>
              <w:rPr>
                <w:rFonts w:ascii="仿宋" w:hAnsi="仿宋" w:eastAsia="仿宋" w:cs="Times New Roman"/>
                <w:color w:val="000000"/>
                <w:kern w:val="0"/>
                <w:sz w:val="22"/>
              </w:rPr>
              <w:t>3300</w:t>
            </w:r>
          </w:p>
        </w:tc>
        <w:tc>
          <w:tcPr>
            <w:tcW w:w="100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20</w:t>
            </w:r>
          </w:p>
        </w:tc>
        <w:tc>
          <w:tcPr>
            <w:tcW w:w="942"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Times New Roman"/>
                <w:color w:val="000000"/>
                <w:kern w:val="0"/>
                <w:sz w:val="22"/>
              </w:rPr>
            </w:pPr>
            <w:r>
              <w:rPr>
                <w:rFonts w:ascii="仿宋" w:hAnsi="仿宋" w:eastAsia="仿宋" w:cs="Times New Roman"/>
                <w:color w:val="000000"/>
                <w:kern w:val="0"/>
                <w:sz w:val="22"/>
              </w:rPr>
              <w:t>15</w:t>
            </w:r>
          </w:p>
        </w:tc>
        <w:tc>
          <w:tcPr>
            <w:tcW w:w="1006"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Times New Roman"/>
                <w:color w:val="000000"/>
                <w:kern w:val="0"/>
                <w:sz w:val="22"/>
              </w:rPr>
            </w:pPr>
            <w:r>
              <w:rPr>
                <w:rFonts w:ascii="仿宋" w:hAnsi="仿宋" w:eastAsia="仿宋" w:cs="Times New Roman"/>
                <w:color w:val="000000"/>
                <w:kern w:val="0"/>
                <w:sz w:val="22"/>
              </w:rPr>
              <w:t>5</w:t>
            </w:r>
          </w:p>
        </w:tc>
        <w:tc>
          <w:tcPr>
            <w:tcW w:w="2655" w:type="dxa"/>
            <w:tcBorders>
              <w:top w:val="nil"/>
              <w:left w:val="nil"/>
              <w:bottom w:val="single" w:color="auto" w:sz="4" w:space="0"/>
              <w:right w:val="single" w:color="auto" w:sz="4" w:space="0"/>
            </w:tcBorders>
            <w:shd w:val="clear" w:color="auto" w:fill="auto"/>
            <w:noWrap/>
            <w:vAlign w:val="bottom"/>
          </w:tcPr>
          <w:p>
            <w:pPr>
              <w:widowControl/>
              <w:jc w:val="left"/>
              <w:rPr>
                <w:rFonts w:ascii="仿宋" w:hAnsi="仿宋" w:eastAsia="仿宋" w:cs="Times New Roman"/>
                <w:color w:val="000000"/>
                <w:kern w:val="0"/>
                <w:sz w:val="22"/>
              </w:rPr>
            </w:pPr>
            <w:r>
              <w:rPr>
                <w:rFonts w:ascii="仿宋" w:hAnsi="仿宋" w:eastAsia="仿宋" w:cs="Times New Roman"/>
                <w:color w:val="000000"/>
                <w:kern w:val="0"/>
                <w:sz w:val="22"/>
              </w:rPr>
              <w:t>　</w:t>
            </w:r>
          </w:p>
        </w:tc>
      </w:tr>
      <w:tr>
        <w:tblPrEx>
          <w:tblCellMar>
            <w:top w:w="0" w:type="dxa"/>
            <w:left w:w="108" w:type="dxa"/>
            <w:bottom w:w="0" w:type="dxa"/>
            <w:right w:w="108" w:type="dxa"/>
          </w:tblCellMar>
        </w:tblPrEx>
        <w:trPr>
          <w:trHeight w:val="301" w:hRule="atLeast"/>
        </w:trPr>
        <w:tc>
          <w:tcPr>
            <w:tcW w:w="274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学前教育</w:t>
            </w:r>
          </w:p>
        </w:tc>
        <w:tc>
          <w:tcPr>
            <w:tcW w:w="485"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Times New Roman"/>
                <w:color w:val="000000"/>
                <w:kern w:val="0"/>
                <w:sz w:val="22"/>
              </w:rPr>
            </w:pPr>
            <w:r>
              <w:rPr>
                <w:rFonts w:ascii="仿宋" w:hAnsi="仿宋" w:eastAsia="仿宋" w:cs="Times New Roman"/>
                <w:color w:val="000000"/>
                <w:kern w:val="0"/>
                <w:sz w:val="22"/>
              </w:rPr>
              <w:t>3</w:t>
            </w:r>
          </w:p>
        </w:tc>
        <w:tc>
          <w:tcPr>
            <w:tcW w:w="856"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Times New Roman"/>
                <w:color w:val="000000"/>
                <w:kern w:val="0"/>
                <w:sz w:val="22"/>
              </w:rPr>
            </w:pPr>
            <w:r>
              <w:rPr>
                <w:rFonts w:ascii="仿宋" w:hAnsi="仿宋" w:eastAsia="仿宋" w:cs="Times New Roman"/>
                <w:color w:val="000000"/>
                <w:kern w:val="0"/>
                <w:sz w:val="22"/>
              </w:rPr>
              <w:t>3300</w:t>
            </w:r>
          </w:p>
        </w:tc>
        <w:tc>
          <w:tcPr>
            <w:tcW w:w="100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30</w:t>
            </w:r>
          </w:p>
        </w:tc>
        <w:tc>
          <w:tcPr>
            <w:tcW w:w="942"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Times New Roman"/>
                <w:color w:val="000000"/>
                <w:kern w:val="0"/>
                <w:sz w:val="22"/>
              </w:rPr>
            </w:pPr>
            <w:r>
              <w:rPr>
                <w:rFonts w:ascii="仿宋" w:hAnsi="仿宋" w:eastAsia="仿宋" w:cs="Times New Roman"/>
                <w:color w:val="000000"/>
                <w:kern w:val="0"/>
                <w:sz w:val="22"/>
              </w:rPr>
              <w:t>25</w:t>
            </w:r>
          </w:p>
        </w:tc>
        <w:tc>
          <w:tcPr>
            <w:tcW w:w="1006"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Times New Roman"/>
                <w:color w:val="000000"/>
                <w:kern w:val="0"/>
                <w:sz w:val="22"/>
              </w:rPr>
            </w:pPr>
            <w:r>
              <w:rPr>
                <w:rFonts w:ascii="仿宋" w:hAnsi="仿宋" w:eastAsia="仿宋" w:cs="Times New Roman"/>
                <w:color w:val="000000"/>
                <w:kern w:val="0"/>
                <w:sz w:val="22"/>
              </w:rPr>
              <w:t>5</w:t>
            </w:r>
          </w:p>
        </w:tc>
        <w:tc>
          <w:tcPr>
            <w:tcW w:w="2655" w:type="dxa"/>
            <w:tcBorders>
              <w:top w:val="nil"/>
              <w:left w:val="nil"/>
              <w:bottom w:val="single" w:color="auto" w:sz="4" w:space="0"/>
              <w:right w:val="single" w:color="auto" w:sz="4" w:space="0"/>
            </w:tcBorders>
            <w:shd w:val="clear" w:color="auto" w:fill="auto"/>
            <w:noWrap/>
            <w:vAlign w:val="bottom"/>
          </w:tcPr>
          <w:p>
            <w:pPr>
              <w:widowControl/>
              <w:jc w:val="left"/>
              <w:rPr>
                <w:rFonts w:ascii="仿宋" w:hAnsi="仿宋" w:eastAsia="仿宋" w:cs="Times New Roman"/>
                <w:color w:val="000000"/>
                <w:kern w:val="0"/>
                <w:sz w:val="22"/>
              </w:rPr>
            </w:pPr>
            <w:r>
              <w:rPr>
                <w:rFonts w:ascii="仿宋" w:hAnsi="仿宋" w:eastAsia="仿宋" w:cs="Times New Roman"/>
                <w:color w:val="000000"/>
                <w:kern w:val="0"/>
                <w:sz w:val="22"/>
              </w:rPr>
              <w:t>　</w:t>
            </w:r>
          </w:p>
        </w:tc>
      </w:tr>
      <w:tr>
        <w:tblPrEx>
          <w:tblCellMar>
            <w:top w:w="0" w:type="dxa"/>
            <w:left w:w="108" w:type="dxa"/>
            <w:bottom w:w="0" w:type="dxa"/>
            <w:right w:w="108" w:type="dxa"/>
          </w:tblCellMar>
        </w:tblPrEx>
        <w:trPr>
          <w:trHeight w:val="301" w:hRule="atLeast"/>
        </w:trPr>
        <w:tc>
          <w:tcPr>
            <w:tcW w:w="274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环境监测技术</w:t>
            </w:r>
          </w:p>
        </w:tc>
        <w:tc>
          <w:tcPr>
            <w:tcW w:w="485"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Times New Roman"/>
                <w:color w:val="000000"/>
                <w:kern w:val="0"/>
                <w:sz w:val="22"/>
              </w:rPr>
            </w:pPr>
            <w:r>
              <w:rPr>
                <w:rFonts w:ascii="仿宋" w:hAnsi="仿宋" w:eastAsia="仿宋" w:cs="Times New Roman"/>
                <w:color w:val="000000"/>
                <w:kern w:val="0"/>
                <w:sz w:val="22"/>
              </w:rPr>
              <w:t>3</w:t>
            </w:r>
          </w:p>
        </w:tc>
        <w:tc>
          <w:tcPr>
            <w:tcW w:w="856"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Times New Roman"/>
                <w:color w:val="000000"/>
                <w:kern w:val="0"/>
                <w:sz w:val="22"/>
              </w:rPr>
            </w:pPr>
            <w:r>
              <w:rPr>
                <w:rFonts w:ascii="仿宋" w:hAnsi="仿宋" w:eastAsia="仿宋" w:cs="Times New Roman"/>
                <w:color w:val="000000"/>
                <w:kern w:val="0"/>
                <w:sz w:val="22"/>
              </w:rPr>
              <w:t>3300</w:t>
            </w:r>
          </w:p>
        </w:tc>
        <w:tc>
          <w:tcPr>
            <w:tcW w:w="100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20</w:t>
            </w:r>
          </w:p>
        </w:tc>
        <w:tc>
          <w:tcPr>
            <w:tcW w:w="942"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Times New Roman"/>
                <w:color w:val="000000"/>
                <w:kern w:val="0"/>
                <w:sz w:val="22"/>
              </w:rPr>
            </w:pPr>
            <w:r>
              <w:rPr>
                <w:rFonts w:ascii="仿宋" w:hAnsi="仿宋" w:eastAsia="仿宋" w:cs="Times New Roman"/>
                <w:color w:val="000000"/>
                <w:kern w:val="0"/>
                <w:sz w:val="22"/>
              </w:rPr>
              <w:t>15</w:t>
            </w:r>
          </w:p>
        </w:tc>
        <w:tc>
          <w:tcPr>
            <w:tcW w:w="1006"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Times New Roman"/>
                <w:color w:val="000000"/>
                <w:kern w:val="0"/>
                <w:sz w:val="22"/>
              </w:rPr>
            </w:pPr>
            <w:r>
              <w:rPr>
                <w:rFonts w:ascii="仿宋" w:hAnsi="仿宋" w:eastAsia="仿宋" w:cs="Times New Roman"/>
                <w:color w:val="000000"/>
                <w:kern w:val="0"/>
                <w:sz w:val="22"/>
              </w:rPr>
              <w:t>5</w:t>
            </w:r>
          </w:p>
        </w:tc>
        <w:tc>
          <w:tcPr>
            <w:tcW w:w="2655" w:type="dxa"/>
            <w:tcBorders>
              <w:top w:val="nil"/>
              <w:left w:val="nil"/>
              <w:bottom w:val="single" w:color="auto" w:sz="4" w:space="0"/>
              <w:right w:val="single" w:color="auto" w:sz="4" w:space="0"/>
            </w:tcBorders>
            <w:shd w:val="clear" w:color="auto" w:fill="auto"/>
            <w:noWrap/>
            <w:vAlign w:val="bottom"/>
          </w:tcPr>
          <w:p>
            <w:pPr>
              <w:widowControl/>
              <w:jc w:val="left"/>
              <w:rPr>
                <w:rFonts w:ascii="仿宋" w:hAnsi="仿宋" w:eastAsia="仿宋" w:cs="Times New Roman"/>
                <w:color w:val="000000"/>
                <w:kern w:val="0"/>
                <w:sz w:val="22"/>
              </w:rPr>
            </w:pPr>
            <w:r>
              <w:rPr>
                <w:rFonts w:ascii="仿宋" w:hAnsi="仿宋" w:eastAsia="仿宋" w:cs="Times New Roman"/>
                <w:color w:val="000000"/>
                <w:kern w:val="0"/>
                <w:sz w:val="22"/>
              </w:rPr>
              <w:t>　</w:t>
            </w:r>
          </w:p>
        </w:tc>
      </w:tr>
      <w:tr>
        <w:tblPrEx>
          <w:tblCellMar>
            <w:top w:w="0" w:type="dxa"/>
            <w:left w:w="108" w:type="dxa"/>
            <w:bottom w:w="0" w:type="dxa"/>
            <w:right w:w="108" w:type="dxa"/>
          </w:tblCellMar>
        </w:tblPrEx>
        <w:trPr>
          <w:trHeight w:val="301" w:hRule="atLeast"/>
        </w:trPr>
        <w:tc>
          <w:tcPr>
            <w:tcW w:w="274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应用化工技术</w:t>
            </w:r>
          </w:p>
        </w:tc>
        <w:tc>
          <w:tcPr>
            <w:tcW w:w="485"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Times New Roman"/>
                <w:color w:val="000000"/>
                <w:kern w:val="0"/>
                <w:sz w:val="22"/>
              </w:rPr>
            </w:pPr>
            <w:r>
              <w:rPr>
                <w:rFonts w:ascii="仿宋" w:hAnsi="仿宋" w:eastAsia="仿宋" w:cs="Times New Roman"/>
                <w:color w:val="000000"/>
                <w:kern w:val="0"/>
                <w:sz w:val="22"/>
              </w:rPr>
              <w:t>3</w:t>
            </w:r>
          </w:p>
        </w:tc>
        <w:tc>
          <w:tcPr>
            <w:tcW w:w="856"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Times New Roman"/>
                <w:color w:val="000000"/>
                <w:kern w:val="0"/>
                <w:sz w:val="22"/>
              </w:rPr>
            </w:pPr>
            <w:r>
              <w:rPr>
                <w:rFonts w:ascii="仿宋" w:hAnsi="仿宋" w:eastAsia="仿宋" w:cs="Times New Roman"/>
                <w:color w:val="000000"/>
                <w:kern w:val="0"/>
                <w:sz w:val="22"/>
              </w:rPr>
              <w:t>3300</w:t>
            </w:r>
          </w:p>
        </w:tc>
        <w:tc>
          <w:tcPr>
            <w:tcW w:w="100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10</w:t>
            </w:r>
          </w:p>
        </w:tc>
        <w:tc>
          <w:tcPr>
            <w:tcW w:w="942"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Times New Roman"/>
                <w:color w:val="000000"/>
                <w:kern w:val="0"/>
                <w:sz w:val="22"/>
              </w:rPr>
            </w:pPr>
            <w:r>
              <w:rPr>
                <w:rFonts w:ascii="仿宋" w:hAnsi="仿宋" w:eastAsia="仿宋" w:cs="Times New Roman"/>
                <w:color w:val="000000"/>
                <w:kern w:val="0"/>
                <w:sz w:val="22"/>
              </w:rPr>
              <w:t>7</w:t>
            </w:r>
          </w:p>
        </w:tc>
        <w:tc>
          <w:tcPr>
            <w:tcW w:w="1006"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Times New Roman"/>
                <w:color w:val="000000"/>
                <w:kern w:val="0"/>
                <w:sz w:val="22"/>
              </w:rPr>
            </w:pPr>
            <w:r>
              <w:rPr>
                <w:rFonts w:ascii="仿宋" w:hAnsi="仿宋" w:eastAsia="仿宋" w:cs="Times New Roman"/>
                <w:color w:val="000000"/>
                <w:kern w:val="0"/>
                <w:sz w:val="22"/>
              </w:rPr>
              <w:t>3</w:t>
            </w:r>
          </w:p>
        </w:tc>
        <w:tc>
          <w:tcPr>
            <w:tcW w:w="2655" w:type="dxa"/>
            <w:tcBorders>
              <w:top w:val="nil"/>
              <w:left w:val="nil"/>
              <w:bottom w:val="single" w:color="auto" w:sz="4" w:space="0"/>
              <w:right w:val="single" w:color="auto" w:sz="4" w:space="0"/>
            </w:tcBorders>
            <w:shd w:val="clear" w:color="auto" w:fill="auto"/>
            <w:noWrap/>
            <w:vAlign w:val="bottom"/>
          </w:tcPr>
          <w:p>
            <w:pPr>
              <w:widowControl/>
              <w:jc w:val="left"/>
              <w:rPr>
                <w:rFonts w:ascii="仿宋" w:hAnsi="仿宋" w:eastAsia="仿宋" w:cs="Times New Roman"/>
                <w:color w:val="000000"/>
                <w:kern w:val="0"/>
                <w:sz w:val="22"/>
              </w:rPr>
            </w:pPr>
            <w:r>
              <w:rPr>
                <w:rFonts w:ascii="仿宋" w:hAnsi="仿宋" w:eastAsia="仿宋" w:cs="Times New Roman"/>
                <w:color w:val="000000"/>
                <w:kern w:val="0"/>
                <w:sz w:val="22"/>
              </w:rPr>
              <w:t>　</w:t>
            </w:r>
          </w:p>
        </w:tc>
      </w:tr>
      <w:tr>
        <w:tblPrEx>
          <w:tblCellMar>
            <w:top w:w="0" w:type="dxa"/>
            <w:left w:w="108" w:type="dxa"/>
            <w:bottom w:w="0" w:type="dxa"/>
            <w:right w:w="108" w:type="dxa"/>
          </w:tblCellMar>
        </w:tblPrEx>
        <w:trPr>
          <w:trHeight w:val="301" w:hRule="atLeast"/>
        </w:trPr>
        <w:tc>
          <w:tcPr>
            <w:tcW w:w="274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服装设计与工艺</w:t>
            </w:r>
          </w:p>
        </w:tc>
        <w:tc>
          <w:tcPr>
            <w:tcW w:w="485"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Times New Roman"/>
                <w:color w:val="000000"/>
                <w:kern w:val="0"/>
                <w:sz w:val="22"/>
              </w:rPr>
            </w:pPr>
            <w:r>
              <w:rPr>
                <w:rFonts w:ascii="仿宋" w:hAnsi="仿宋" w:eastAsia="仿宋" w:cs="Times New Roman"/>
                <w:color w:val="000000"/>
                <w:kern w:val="0"/>
                <w:sz w:val="22"/>
              </w:rPr>
              <w:t>3</w:t>
            </w:r>
          </w:p>
        </w:tc>
        <w:tc>
          <w:tcPr>
            <w:tcW w:w="856"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Times New Roman"/>
                <w:color w:val="000000"/>
                <w:kern w:val="0"/>
                <w:sz w:val="22"/>
              </w:rPr>
            </w:pPr>
            <w:r>
              <w:rPr>
                <w:rFonts w:ascii="仿宋" w:hAnsi="仿宋" w:eastAsia="仿宋" w:cs="Times New Roman"/>
                <w:color w:val="000000"/>
                <w:kern w:val="0"/>
                <w:sz w:val="22"/>
              </w:rPr>
              <w:t>3300</w:t>
            </w:r>
          </w:p>
        </w:tc>
        <w:tc>
          <w:tcPr>
            <w:tcW w:w="100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10</w:t>
            </w:r>
          </w:p>
        </w:tc>
        <w:tc>
          <w:tcPr>
            <w:tcW w:w="942"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Times New Roman"/>
                <w:color w:val="000000"/>
                <w:kern w:val="0"/>
                <w:sz w:val="22"/>
              </w:rPr>
            </w:pPr>
            <w:r>
              <w:rPr>
                <w:rFonts w:ascii="仿宋" w:hAnsi="仿宋" w:eastAsia="仿宋" w:cs="Times New Roman"/>
                <w:color w:val="000000"/>
                <w:kern w:val="0"/>
                <w:sz w:val="22"/>
              </w:rPr>
              <w:t>7</w:t>
            </w:r>
          </w:p>
        </w:tc>
        <w:tc>
          <w:tcPr>
            <w:tcW w:w="1006"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Times New Roman"/>
                <w:color w:val="000000"/>
                <w:kern w:val="0"/>
                <w:sz w:val="22"/>
              </w:rPr>
            </w:pPr>
            <w:r>
              <w:rPr>
                <w:rFonts w:ascii="仿宋" w:hAnsi="仿宋" w:eastAsia="仿宋" w:cs="Times New Roman"/>
                <w:color w:val="000000"/>
                <w:kern w:val="0"/>
                <w:sz w:val="22"/>
              </w:rPr>
              <w:t>3</w:t>
            </w:r>
          </w:p>
        </w:tc>
        <w:tc>
          <w:tcPr>
            <w:tcW w:w="2655" w:type="dxa"/>
            <w:tcBorders>
              <w:top w:val="nil"/>
              <w:left w:val="nil"/>
              <w:bottom w:val="single" w:color="auto" w:sz="4" w:space="0"/>
              <w:right w:val="single" w:color="auto" w:sz="4" w:space="0"/>
            </w:tcBorders>
            <w:shd w:val="clear" w:color="auto" w:fill="auto"/>
            <w:noWrap/>
            <w:vAlign w:val="bottom"/>
          </w:tcPr>
          <w:p>
            <w:pPr>
              <w:widowControl/>
              <w:jc w:val="left"/>
              <w:rPr>
                <w:rFonts w:ascii="仿宋" w:hAnsi="仿宋" w:eastAsia="仿宋" w:cs="Times New Roman"/>
                <w:color w:val="000000"/>
                <w:kern w:val="0"/>
                <w:sz w:val="22"/>
              </w:rPr>
            </w:pPr>
            <w:r>
              <w:rPr>
                <w:rFonts w:ascii="仿宋" w:hAnsi="仿宋" w:eastAsia="仿宋" w:cs="Times New Roman"/>
                <w:color w:val="000000"/>
                <w:kern w:val="0"/>
                <w:sz w:val="22"/>
              </w:rPr>
              <w:t>　</w:t>
            </w:r>
          </w:p>
        </w:tc>
      </w:tr>
      <w:tr>
        <w:tblPrEx>
          <w:tblCellMar>
            <w:top w:w="0" w:type="dxa"/>
            <w:left w:w="108" w:type="dxa"/>
            <w:bottom w:w="0" w:type="dxa"/>
            <w:right w:w="108" w:type="dxa"/>
          </w:tblCellMar>
        </w:tblPrEx>
        <w:trPr>
          <w:trHeight w:val="301" w:hRule="atLeast"/>
        </w:trPr>
        <w:tc>
          <w:tcPr>
            <w:tcW w:w="274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食品智能加工技术</w:t>
            </w:r>
          </w:p>
        </w:tc>
        <w:tc>
          <w:tcPr>
            <w:tcW w:w="485"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Times New Roman"/>
                <w:color w:val="000000"/>
                <w:kern w:val="0"/>
                <w:sz w:val="22"/>
              </w:rPr>
            </w:pPr>
            <w:r>
              <w:rPr>
                <w:rFonts w:ascii="仿宋" w:hAnsi="仿宋" w:eastAsia="仿宋" w:cs="Times New Roman"/>
                <w:color w:val="000000"/>
                <w:kern w:val="0"/>
                <w:sz w:val="22"/>
              </w:rPr>
              <w:t>3</w:t>
            </w:r>
          </w:p>
        </w:tc>
        <w:tc>
          <w:tcPr>
            <w:tcW w:w="856"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Times New Roman"/>
                <w:color w:val="000000"/>
                <w:kern w:val="0"/>
                <w:sz w:val="22"/>
              </w:rPr>
            </w:pPr>
            <w:r>
              <w:rPr>
                <w:rFonts w:ascii="仿宋" w:hAnsi="仿宋" w:eastAsia="仿宋" w:cs="Times New Roman"/>
                <w:color w:val="000000"/>
                <w:kern w:val="0"/>
                <w:sz w:val="22"/>
              </w:rPr>
              <w:t>3300</w:t>
            </w:r>
          </w:p>
        </w:tc>
        <w:tc>
          <w:tcPr>
            <w:tcW w:w="100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10</w:t>
            </w:r>
          </w:p>
        </w:tc>
        <w:tc>
          <w:tcPr>
            <w:tcW w:w="942"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Times New Roman"/>
                <w:color w:val="000000"/>
                <w:kern w:val="0"/>
                <w:sz w:val="22"/>
              </w:rPr>
            </w:pPr>
            <w:r>
              <w:rPr>
                <w:rFonts w:ascii="仿宋" w:hAnsi="仿宋" w:eastAsia="仿宋" w:cs="Times New Roman"/>
                <w:color w:val="000000"/>
                <w:kern w:val="0"/>
                <w:sz w:val="22"/>
              </w:rPr>
              <w:t>7</w:t>
            </w:r>
          </w:p>
        </w:tc>
        <w:tc>
          <w:tcPr>
            <w:tcW w:w="1006"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Times New Roman"/>
                <w:color w:val="000000"/>
                <w:kern w:val="0"/>
                <w:sz w:val="22"/>
              </w:rPr>
            </w:pPr>
            <w:r>
              <w:rPr>
                <w:rFonts w:ascii="仿宋" w:hAnsi="仿宋" w:eastAsia="仿宋" w:cs="Times New Roman"/>
                <w:color w:val="000000"/>
                <w:kern w:val="0"/>
                <w:sz w:val="22"/>
              </w:rPr>
              <w:t>3</w:t>
            </w:r>
          </w:p>
        </w:tc>
        <w:tc>
          <w:tcPr>
            <w:tcW w:w="2655" w:type="dxa"/>
            <w:tcBorders>
              <w:top w:val="nil"/>
              <w:left w:val="nil"/>
              <w:bottom w:val="single" w:color="auto" w:sz="4" w:space="0"/>
              <w:right w:val="single" w:color="auto" w:sz="4" w:space="0"/>
            </w:tcBorders>
            <w:shd w:val="clear" w:color="auto" w:fill="auto"/>
            <w:noWrap/>
            <w:vAlign w:val="bottom"/>
          </w:tcPr>
          <w:p>
            <w:pPr>
              <w:widowControl/>
              <w:jc w:val="left"/>
              <w:rPr>
                <w:rFonts w:ascii="仿宋" w:hAnsi="仿宋" w:eastAsia="仿宋" w:cs="Times New Roman"/>
                <w:color w:val="000000"/>
                <w:kern w:val="0"/>
                <w:sz w:val="22"/>
              </w:rPr>
            </w:pPr>
            <w:r>
              <w:rPr>
                <w:rFonts w:ascii="仿宋" w:hAnsi="仿宋" w:eastAsia="仿宋" w:cs="Times New Roman"/>
                <w:color w:val="000000"/>
                <w:kern w:val="0"/>
                <w:sz w:val="22"/>
              </w:rPr>
              <w:t>　</w:t>
            </w:r>
          </w:p>
        </w:tc>
      </w:tr>
      <w:tr>
        <w:tblPrEx>
          <w:tblCellMar>
            <w:top w:w="0" w:type="dxa"/>
            <w:left w:w="108" w:type="dxa"/>
            <w:bottom w:w="0" w:type="dxa"/>
            <w:right w:w="108" w:type="dxa"/>
          </w:tblCellMar>
        </w:tblPrEx>
        <w:trPr>
          <w:trHeight w:val="301" w:hRule="atLeast"/>
        </w:trPr>
        <w:tc>
          <w:tcPr>
            <w:tcW w:w="274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食品检验检测技术</w:t>
            </w:r>
          </w:p>
        </w:tc>
        <w:tc>
          <w:tcPr>
            <w:tcW w:w="485"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Times New Roman"/>
                <w:color w:val="000000"/>
                <w:kern w:val="0"/>
                <w:sz w:val="22"/>
              </w:rPr>
            </w:pPr>
            <w:r>
              <w:rPr>
                <w:rFonts w:ascii="仿宋" w:hAnsi="仿宋" w:eastAsia="仿宋" w:cs="Times New Roman"/>
                <w:color w:val="000000"/>
                <w:kern w:val="0"/>
                <w:sz w:val="22"/>
              </w:rPr>
              <w:t>3</w:t>
            </w:r>
          </w:p>
        </w:tc>
        <w:tc>
          <w:tcPr>
            <w:tcW w:w="856"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Times New Roman"/>
                <w:color w:val="000000"/>
                <w:kern w:val="0"/>
                <w:sz w:val="22"/>
              </w:rPr>
            </w:pPr>
            <w:r>
              <w:rPr>
                <w:rFonts w:ascii="仿宋" w:hAnsi="仿宋" w:eastAsia="仿宋" w:cs="Times New Roman"/>
                <w:color w:val="000000"/>
                <w:kern w:val="0"/>
                <w:sz w:val="22"/>
              </w:rPr>
              <w:t>3300</w:t>
            </w:r>
          </w:p>
        </w:tc>
        <w:tc>
          <w:tcPr>
            <w:tcW w:w="100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10</w:t>
            </w:r>
          </w:p>
        </w:tc>
        <w:tc>
          <w:tcPr>
            <w:tcW w:w="942"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Times New Roman"/>
                <w:color w:val="000000"/>
                <w:kern w:val="0"/>
                <w:sz w:val="22"/>
              </w:rPr>
            </w:pPr>
            <w:r>
              <w:rPr>
                <w:rFonts w:ascii="仿宋" w:hAnsi="仿宋" w:eastAsia="仿宋" w:cs="Times New Roman"/>
                <w:color w:val="000000"/>
                <w:kern w:val="0"/>
                <w:sz w:val="22"/>
              </w:rPr>
              <w:t>7</w:t>
            </w:r>
          </w:p>
        </w:tc>
        <w:tc>
          <w:tcPr>
            <w:tcW w:w="1006"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Times New Roman"/>
                <w:color w:val="000000"/>
                <w:kern w:val="0"/>
                <w:sz w:val="22"/>
              </w:rPr>
            </w:pPr>
            <w:r>
              <w:rPr>
                <w:rFonts w:ascii="仿宋" w:hAnsi="仿宋" w:eastAsia="仿宋" w:cs="Times New Roman"/>
                <w:color w:val="000000"/>
                <w:kern w:val="0"/>
                <w:sz w:val="22"/>
              </w:rPr>
              <w:t>3</w:t>
            </w:r>
          </w:p>
        </w:tc>
        <w:tc>
          <w:tcPr>
            <w:tcW w:w="2655" w:type="dxa"/>
            <w:tcBorders>
              <w:top w:val="nil"/>
              <w:left w:val="nil"/>
              <w:bottom w:val="single" w:color="auto" w:sz="4" w:space="0"/>
              <w:right w:val="single" w:color="auto" w:sz="4" w:space="0"/>
            </w:tcBorders>
            <w:shd w:val="clear" w:color="auto" w:fill="auto"/>
            <w:noWrap/>
            <w:vAlign w:val="bottom"/>
          </w:tcPr>
          <w:p>
            <w:pPr>
              <w:widowControl/>
              <w:jc w:val="left"/>
              <w:rPr>
                <w:rFonts w:ascii="仿宋" w:hAnsi="仿宋" w:eastAsia="仿宋" w:cs="Times New Roman"/>
                <w:color w:val="000000"/>
                <w:kern w:val="0"/>
                <w:sz w:val="22"/>
              </w:rPr>
            </w:pPr>
            <w:r>
              <w:rPr>
                <w:rFonts w:ascii="仿宋" w:hAnsi="仿宋" w:eastAsia="仿宋" w:cs="Times New Roman"/>
                <w:color w:val="000000"/>
                <w:kern w:val="0"/>
                <w:sz w:val="22"/>
              </w:rPr>
              <w:t>　</w:t>
            </w:r>
          </w:p>
        </w:tc>
      </w:tr>
      <w:tr>
        <w:tblPrEx>
          <w:tblCellMar>
            <w:top w:w="0" w:type="dxa"/>
            <w:left w:w="108" w:type="dxa"/>
            <w:bottom w:w="0" w:type="dxa"/>
            <w:right w:w="108" w:type="dxa"/>
          </w:tblCellMar>
        </w:tblPrEx>
        <w:trPr>
          <w:trHeight w:val="301" w:hRule="atLeast"/>
        </w:trPr>
        <w:tc>
          <w:tcPr>
            <w:tcW w:w="274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建筑工程技术</w:t>
            </w:r>
          </w:p>
        </w:tc>
        <w:tc>
          <w:tcPr>
            <w:tcW w:w="485"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Times New Roman"/>
                <w:color w:val="000000"/>
                <w:kern w:val="0"/>
                <w:sz w:val="22"/>
              </w:rPr>
            </w:pPr>
            <w:r>
              <w:rPr>
                <w:rFonts w:ascii="仿宋" w:hAnsi="仿宋" w:eastAsia="仿宋" w:cs="Times New Roman"/>
                <w:color w:val="000000"/>
                <w:kern w:val="0"/>
                <w:sz w:val="22"/>
              </w:rPr>
              <w:t>3</w:t>
            </w:r>
          </w:p>
        </w:tc>
        <w:tc>
          <w:tcPr>
            <w:tcW w:w="856"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Times New Roman"/>
                <w:color w:val="000000"/>
                <w:kern w:val="0"/>
                <w:sz w:val="22"/>
              </w:rPr>
            </w:pPr>
            <w:r>
              <w:rPr>
                <w:rFonts w:ascii="仿宋" w:hAnsi="仿宋" w:eastAsia="仿宋" w:cs="Times New Roman"/>
                <w:color w:val="000000"/>
                <w:kern w:val="0"/>
                <w:sz w:val="22"/>
              </w:rPr>
              <w:t>3300</w:t>
            </w:r>
          </w:p>
        </w:tc>
        <w:tc>
          <w:tcPr>
            <w:tcW w:w="100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20</w:t>
            </w:r>
          </w:p>
        </w:tc>
        <w:tc>
          <w:tcPr>
            <w:tcW w:w="942"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Times New Roman"/>
                <w:color w:val="000000"/>
                <w:kern w:val="0"/>
                <w:sz w:val="22"/>
              </w:rPr>
            </w:pPr>
            <w:r>
              <w:rPr>
                <w:rFonts w:ascii="仿宋" w:hAnsi="仿宋" w:eastAsia="仿宋" w:cs="Times New Roman"/>
                <w:color w:val="000000"/>
                <w:kern w:val="0"/>
                <w:sz w:val="22"/>
              </w:rPr>
              <w:t>15</w:t>
            </w:r>
          </w:p>
        </w:tc>
        <w:tc>
          <w:tcPr>
            <w:tcW w:w="1006"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Times New Roman"/>
                <w:color w:val="000000"/>
                <w:kern w:val="0"/>
                <w:sz w:val="22"/>
              </w:rPr>
            </w:pPr>
            <w:r>
              <w:rPr>
                <w:rFonts w:ascii="仿宋" w:hAnsi="仿宋" w:eastAsia="仿宋" w:cs="Times New Roman"/>
                <w:color w:val="000000"/>
                <w:kern w:val="0"/>
                <w:sz w:val="22"/>
              </w:rPr>
              <w:t>5</w:t>
            </w:r>
          </w:p>
        </w:tc>
        <w:tc>
          <w:tcPr>
            <w:tcW w:w="2655" w:type="dxa"/>
            <w:tcBorders>
              <w:top w:val="nil"/>
              <w:left w:val="nil"/>
              <w:bottom w:val="single" w:color="auto" w:sz="4" w:space="0"/>
              <w:right w:val="single" w:color="auto" w:sz="4" w:space="0"/>
            </w:tcBorders>
            <w:shd w:val="clear" w:color="auto" w:fill="auto"/>
            <w:noWrap/>
            <w:vAlign w:val="bottom"/>
          </w:tcPr>
          <w:p>
            <w:pPr>
              <w:widowControl/>
              <w:jc w:val="left"/>
              <w:rPr>
                <w:rFonts w:ascii="仿宋" w:hAnsi="仿宋" w:eastAsia="仿宋" w:cs="Times New Roman"/>
                <w:color w:val="000000"/>
                <w:kern w:val="0"/>
                <w:sz w:val="22"/>
              </w:rPr>
            </w:pPr>
            <w:r>
              <w:rPr>
                <w:rFonts w:ascii="仿宋" w:hAnsi="仿宋" w:eastAsia="仿宋" w:cs="Times New Roman"/>
                <w:color w:val="000000"/>
                <w:kern w:val="0"/>
                <w:sz w:val="22"/>
              </w:rPr>
              <w:t>　</w:t>
            </w:r>
          </w:p>
        </w:tc>
      </w:tr>
      <w:tr>
        <w:tblPrEx>
          <w:tblCellMar>
            <w:top w:w="0" w:type="dxa"/>
            <w:left w:w="108" w:type="dxa"/>
            <w:bottom w:w="0" w:type="dxa"/>
            <w:right w:w="108" w:type="dxa"/>
          </w:tblCellMar>
        </w:tblPrEx>
        <w:trPr>
          <w:trHeight w:val="301" w:hRule="atLeast"/>
        </w:trPr>
        <w:tc>
          <w:tcPr>
            <w:tcW w:w="274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工程造价</w:t>
            </w:r>
          </w:p>
        </w:tc>
        <w:tc>
          <w:tcPr>
            <w:tcW w:w="485"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Times New Roman"/>
                <w:color w:val="000000"/>
                <w:kern w:val="0"/>
                <w:sz w:val="22"/>
              </w:rPr>
            </w:pPr>
            <w:r>
              <w:rPr>
                <w:rFonts w:ascii="仿宋" w:hAnsi="仿宋" w:eastAsia="仿宋" w:cs="Times New Roman"/>
                <w:color w:val="000000"/>
                <w:kern w:val="0"/>
                <w:sz w:val="22"/>
              </w:rPr>
              <w:t>3</w:t>
            </w:r>
          </w:p>
        </w:tc>
        <w:tc>
          <w:tcPr>
            <w:tcW w:w="856"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Times New Roman"/>
                <w:color w:val="000000"/>
                <w:kern w:val="0"/>
                <w:sz w:val="22"/>
              </w:rPr>
            </w:pPr>
            <w:r>
              <w:rPr>
                <w:rFonts w:ascii="仿宋" w:hAnsi="仿宋" w:eastAsia="仿宋" w:cs="Times New Roman"/>
                <w:color w:val="000000"/>
                <w:kern w:val="0"/>
                <w:sz w:val="22"/>
              </w:rPr>
              <w:t>3300</w:t>
            </w:r>
          </w:p>
        </w:tc>
        <w:tc>
          <w:tcPr>
            <w:tcW w:w="100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20</w:t>
            </w:r>
          </w:p>
        </w:tc>
        <w:tc>
          <w:tcPr>
            <w:tcW w:w="942"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Times New Roman"/>
                <w:color w:val="000000"/>
                <w:kern w:val="0"/>
                <w:sz w:val="22"/>
              </w:rPr>
            </w:pPr>
            <w:r>
              <w:rPr>
                <w:rFonts w:ascii="仿宋" w:hAnsi="仿宋" w:eastAsia="仿宋" w:cs="Times New Roman"/>
                <w:color w:val="000000"/>
                <w:kern w:val="0"/>
                <w:sz w:val="22"/>
              </w:rPr>
              <w:t>15</w:t>
            </w:r>
          </w:p>
        </w:tc>
        <w:tc>
          <w:tcPr>
            <w:tcW w:w="1006"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Times New Roman"/>
                <w:color w:val="000000"/>
                <w:kern w:val="0"/>
                <w:sz w:val="22"/>
              </w:rPr>
            </w:pPr>
            <w:r>
              <w:rPr>
                <w:rFonts w:ascii="仿宋" w:hAnsi="仿宋" w:eastAsia="仿宋" w:cs="Times New Roman"/>
                <w:color w:val="000000"/>
                <w:kern w:val="0"/>
                <w:sz w:val="22"/>
              </w:rPr>
              <w:t>5</w:t>
            </w:r>
          </w:p>
        </w:tc>
        <w:tc>
          <w:tcPr>
            <w:tcW w:w="2655" w:type="dxa"/>
            <w:tcBorders>
              <w:top w:val="nil"/>
              <w:left w:val="nil"/>
              <w:bottom w:val="single" w:color="auto" w:sz="4" w:space="0"/>
              <w:right w:val="single" w:color="auto" w:sz="4" w:space="0"/>
            </w:tcBorders>
            <w:shd w:val="clear" w:color="auto" w:fill="auto"/>
            <w:noWrap/>
            <w:vAlign w:val="bottom"/>
          </w:tcPr>
          <w:p>
            <w:pPr>
              <w:widowControl/>
              <w:jc w:val="left"/>
              <w:rPr>
                <w:rFonts w:ascii="仿宋" w:hAnsi="仿宋" w:eastAsia="仿宋" w:cs="Times New Roman"/>
                <w:color w:val="000000"/>
                <w:kern w:val="0"/>
                <w:sz w:val="22"/>
              </w:rPr>
            </w:pPr>
            <w:r>
              <w:rPr>
                <w:rFonts w:ascii="仿宋" w:hAnsi="仿宋" w:eastAsia="仿宋" w:cs="Times New Roman"/>
                <w:color w:val="000000"/>
                <w:kern w:val="0"/>
                <w:sz w:val="22"/>
              </w:rPr>
              <w:t>　</w:t>
            </w:r>
          </w:p>
        </w:tc>
      </w:tr>
      <w:tr>
        <w:tblPrEx>
          <w:tblCellMar>
            <w:top w:w="0" w:type="dxa"/>
            <w:left w:w="108" w:type="dxa"/>
            <w:bottom w:w="0" w:type="dxa"/>
            <w:right w:w="108" w:type="dxa"/>
          </w:tblCellMar>
        </w:tblPrEx>
        <w:trPr>
          <w:trHeight w:val="301" w:hRule="atLeast"/>
        </w:trPr>
        <w:tc>
          <w:tcPr>
            <w:tcW w:w="274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水利工程</w:t>
            </w:r>
          </w:p>
        </w:tc>
        <w:tc>
          <w:tcPr>
            <w:tcW w:w="485"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Times New Roman"/>
                <w:color w:val="000000"/>
                <w:kern w:val="0"/>
                <w:sz w:val="22"/>
              </w:rPr>
            </w:pPr>
            <w:r>
              <w:rPr>
                <w:rFonts w:ascii="仿宋" w:hAnsi="仿宋" w:eastAsia="仿宋" w:cs="Times New Roman"/>
                <w:color w:val="000000"/>
                <w:kern w:val="0"/>
                <w:sz w:val="22"/>
              </w:rPr>
              <w:t>3</w:t>
            </w:r>
          </w:p>
        </w:tc>
        <w:tc>
          <w:tcPr>
            <w:tcW w:w="856"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Times New Roman"/>
                <w:color w:val="000000"/>
                <w:kern w:val="0"/>
                <w:sz w:val="22"/>
              </w:rPr>
            </w:pPr>
            <w:r>
              <w:rPr>
                <w:rFonts w:ascii="仿宋" w:hAnsi="仿宋" w:eastAsia="仿宋" w:cs="Times New Roman"/>
                <w:color w:val="000000"/>
                <w:kern w:val="0"/>
                <w:sz w:val="22"/>
              </w:rPr>
              <w:t>3300</w:t>
            </w:r>
          </w:p>
        </w:tc>
        <w:tc>
          <w:tcPr>
            <w:tcW w:w="100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20</w:t>
            </w:r>
          </w:p>
        </w:tc>
        <w:tc>
          <w:tcPr>
            <w:tcW w:w="942"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Times New Roman"/>
                <w:color w:val="000000"/>
                <w:kern w:val="0"/>
                <w:sz w:val="22"/>
              </w:rPr>
            </w:pPr>
            <w:r>
              <w:rPr>
                <w:rFonts w:ascii="仿宋" w:hAnsi="仿宋" w:eastAsia="仿宋" w:cs="Times New Roman"/>
                <w:color w:val="000000"/>
                <w:kern w:val="0"/>
                <w:sz w:val="22"/>
              </w:rPr>
              <w:t>15</w:t>
            </w:r>
          </w:p>
        </w:tc>
        <w:tc>
          <w:tcPr>
            <w:tcW w:w="1006"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Times New Roman"/>
                <w:color w:val="000000"/>
                <w:kern w:val="0"/>
                <w:sz w:val="22"/>
              </w:rPr>
            </w:pPr>
            <w:r>
              <w:rPr>
                <w:rFonts w:ascii="仿宋" w:hAnsi="仿宋" w:eastAsia="仿宋" w:cs="Times New Roman"/>
                <w:color w:val="000000"/>
                <w:kern w:val="0"/>
                <w:sz w:val="22"/>
              </w:rPr>
              <w:t>5</w:t>
            </w:r>
          </w:p>
        </w:tc>
        <w:tc>
          <w:tcPr>
            <w:tcW w:w="2655" w:type="dxa"/>
            <w:tcBorders>
              <w:top w:val="nil"/>
              <w:left w:val="nil"/>
              <w:bottom w:val="single" w:color="auto" w:sz="4" w:space="0"/>
              <w:right w:val="single" w:color="auto" w:sz="4" w:space="0"/>
            </w:tcBorders>
            <w:shd w:val="clear" w:color="auto" w:fill="auto"/>
            <w:noWrap/>
            <w:vAlign w:val="bottom"/>
          </w:tcPr>
          <w:p>
            <w:pPr>
              <w:widowControl/>
              <w:jc w:val="left"/>
              <w:rPr>
                <w:rFonts w:ascii="仿宋" w:hAnsi="仿宋" w:eastAsia="仿宋" w:cs="Times New Roman"/>
                <w:color w:val="000000"/>
                <w:kern w:val="0"/>
                <w:sz w:val="22"/>
              </w:rPr>
            </w:pPr>
            <w:r>
              <w:rPr>
                <w:rFonts w:ascii="仿宋" w:hAnsi="仿宋" w:eastAsia="仿宋" w:cs="Times New Roman"/>
                <w:color w:val="000000"/>
                <w:kern w:val="0"/>
                <w:sz w:val="22"/>
              </w:rPr>
              <w:t>　</w:t>
            </w:r>
          </w:p>
        </w:tc>
      </w:tr>
      <w:tr>
        <w:tblPrEx>
          <w:tblCellMar>
            <w:top w:w="0" w:type="dxa"/>
            <w:left w:w="108" w:type="dxa"/>
            <w:bottom w:w="0" w:type="dxa"/>
            <w:right w:w="108" w:type="dxa"/>
          </w:tblCellMar>
        </w:tblPrEx>
        <w:trPr>
          <w:trHeight w:val="301" w:hRule="atLeast"/>
        </w:trPr>
        <w:tc>
          <w:tcPr>
            <w:tcW w:w="274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计算机应用技术</w:t>
            </w:r>
          </w:p>
        </w:tc>
        <w:tc>
          <w:tcPr>
            <w:tcW w:w="485"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Times New Roman"/>
                <w:color w:val="000000"/>
                <w:kern w:val="0"/>
                <w:sz w:val="22"/>
              </w:rPr>
            </w:pPr>
            <w:r>
              <w:rPr>
                <w:rFonts w:ascii="仿宋" w:hAnsi="仿宋" w:eastAsia="仿宋" w:cs="Times New Roman"/>
                <w:color w:val="000000"/>
                <w:kern w:val="0"/>
                <w:sz w:val="22"/>
              </w:rPr>
              <w:t>3</w:t>
            </w:r>
          </w:p>
        </w:tc>
        <w:tc>
          <w:tcPr>
            <w:tcW w:w="856"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Times New Roman"/>
                <w:color w:val="000000"/>
                <w:kern w:val="0"/>
                <w:sz w:val="22"/>
              </w:rPr>
            </w:pPr>
            <w:r>
              <w:rPr>
                <w:rFonts w:ascii="仿宋" w:hAnsi="仿宋" w:eastAsia="仿宋" w:cs="Times New Roman"/>
                <w:color w:val="000000"/>
                <w:kern w:val="0"/>
                <w:sz w:val="22"/>
              </w:rPr>
              <w:t>3300</w:t>
            </w:r>
          </w:p>
        </w:tc>
        <w:tc>
          <w:tcPr>
            <w:tcW w:w="100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20</w:t>
            </w:r>
          </w:p>
        </w:tc>
        <w:tc>
          <w:tcPr>
            <w:tcW w:w="942"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Times New Roman"/>
                <w:color w:val="000000"/>
                <w:kern w:val="0"/>
                <w:sz w:val="22"/>
              </w:rPr>
            </w:pPr>
            <w:r>
              <w:rPr>
                <w:rFonts w:ascii="仿宋" w:hAnsi="仿宋" w:eastAsia="仿宋" w:cs="Times New Roman"/>
                <w:color w:val="000000"/>
                <w:kern w:val="0"/>
                <w:sz w:val="22"/>
              </w:rPr>
              <w:t>15</w:t>
            </w:r>
          </w:p>
        </w:tc>
        <w:tc>
          <w:tcPr>
            <w:tcW w:w="1006"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Times New Roman"/>
                <w:color w:val="000000"/>
                <w:kern w:val="0"/>
                <w:sz w:val="22"/>
              </w:rPr>
            </w:pPr>
            <w:r>
              <w:rPr>
                <w:rFonts w:ascii="仿宋" w:hAnsi="仿宋" w:eastAsia="仿宋" w:cs="Times New Roman"/>
                <w:color w:val="000000"/>
                <w:kern w:val="0"/>
                <w:sz w:val="22"/>
              </w:rPr>
              <w:t>5</w:t>
            </w:r>
          </w:p>
        </w:tc>
        <w:tc>
          <w:tcPr>
            <w:tcW w:w="2655" w:type="dxa"/>
            <w:tcBorders>
              <w:top w:val="nil"/>
              <w:left w:val="nil"/>
              <w:bottom w:val="single" w:color="auto" w:sz="4" w:space="0"/>
              <w:right w:val="single" w:color="auto" w:sz="4" w:space="0"/>
            </w:tcBorders>
            <w:shd w:val="clear" w:color="auto" w:fill="auto"/>
            <w:noWrap/>
            <w:vAlign w:val="bottom"/>
          </w:tcPr>
          <w:p>
            <w:pPr>
              <w:widowControl/>
              <w:jc w:val="left"/>
              <w:rPr>
                <w:rFonts w:ascii="仿宋" w:hAnsi="仿宋" w:eastAsia="仿宋" w:cs="Times New Roman"/>
                <w:color w:val="000000"/>
                <w:kern w:val="0"/>
                <w:sz w:val="22"/>
              </w:rPr>
            </w:pPr>
            <w:r>
              <w:rPr>
                <w:rFonts w:ascii="仿宋" w:hAnsi="仿宋" w:eastAsia="仿宋" w:cs="Times New Roman"/>
                <w:color w:val="000000"/>
                <w:kern w:val="0"/>
                <w:sz w:val="22"/>
              </w:rPr>
              <w:t>　</w:t>
            </w:r>
          </w:p>
        </w:tc>
      </w:tr>
      <w:tr>
        <w:tblPrEx>
          <w:tblCellMar>
            <w:top w:w="0" w:type="dxa"/>
            <w:left w:w="108" w:type="dxa"/>
            <w:bottom w:w="0" w:type="dxa"/>
            <w:right w:w="108" w:type="dxa"/>
          </w:tblCellMar>
        </w:tblPrEx>
        <w:trPr>
          <w:trHeight w:val="301" w:hRule="atLeast"/>
        </w:trPr>
        <w:tc>
          <w:tcPr>
            <w:tcW w:w="274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数字媒体技术</w:t>
            </w:r>
          </w:p>
        </w:tc>
        <w:tc>
          <w:tcPr>
            <w:tcW w:w="485"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Times New Roman"/>
                <w:color w:val="000000"/>
                <w:kern w:val="0"/>
                <w:sz w:val="22"/>
              </w:rPr>
            </w:pPr>
            <w:r>
              <w:rPr>
                <w:rFonts w:ascii="仿宋" w:hAnsi="仿宋" w:eastAsia="仿宋" w:cs="Times New Roman"/>
                <w:color w:val="000000"/>
                <w:kern w:val="0"/>
                <w:sz w:val="22"/>
              </w:rPr>
              <w:t>3</w:t>
            </w:r>
          </w:p>
        </w:tc>
        <w:tc>
          <w:tcPr>
            <w:tcW w:w="856"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Times New Roman"/>
                <w:color w:val="000000"/>
                <w:kern w:val="0"/>
                <w:sz w:val="22"/>
              </w:rPr>
            </w:pPr>
            <w:r>
              <w:rPr>
                <w:rFonts w:ascii="仿宋" w:hAnsi="仿宋" w:eastAsia="仿宋" w:cs="Times New Roman"/>
                <w:color w:val="000000"/>
                <w:kern w:val="0"/>
                <w:sz w:val="22"/>
              </w:rPr>
              <w:t>3300</w:t>
            </w:r>
          </w:p>
        </w:tc>
        <w:tc>
          <w:tcPr>
            <w:tcW w:w="100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20</w:t>
            </w:r>
          </w:p>
        </w:tc>
        <w:tc>
          <w:tcPr>
            <w:tcW w:w="942"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Times New Roman"/>
                <w:color w:val="000000"/>
                <w:kern w:val="0"/>
                <w:sz w:val="22"/>
              </w:rPr>
            </w:pPr>
            <w:r>
              <w:rPr>
                <w:rFonts w:ascii="仿宋" w:hAnsi="仿宋" w:eastAsia="仿宋" w:cs="Times New Roman"/>
                <w:color w:val="000000"/>
                <w:kern w:val="0"/>
                <w:sz w:val="22"/>
              </w:rPr>
              <w:t>15</w:t>
            </w:r>
          </w:p>
        </w:tc>
        <w:tc>
          <w:tcPr>
            <w:tcW w:w="1006"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Times New Roman"/>
                <w:color w:val="000000"/>
                <w:kern w:val="0"/>
                <w:sz w:val="22"/>
              </w:rPr>
            </w:pPr>
            <w:r>
              <w:rPr>
                <w:rFonts w:ascii="仿宋" w:hAnsi="仿宋" w:eastAsia="仿宋" w:cs="Times New Roman"/>
                <w:color w:val="000000"/>
                <w:kern w:val="0"/>
                <w:sz w:val="22"/>
              </w:rPr>
              <w:t>5</w:t>
            </w:r>
          </w:p>
        </w:tc>
        <w:tc>
          <w:tcPr>
            <w:tcW w:w="2655" w:type="dxa"/>
            <w:tcBorders>
              <w:top w:val="nil"/>
              <w:left w:val="nil"/>
              <w:bottom w:val="single" w:color="auto" w:sz="4" w:space="0"/>
              <w:right w:val="single" w:color="auto" w:sz="4" w:space="0"/>
            </w:tcBorders>
            <w:shd w:val="clear" w:color="auto" w:fill="auto"/>
            <w:noWrap/>
            <w:vAlign w:val="bottom"/>
          </w:tcPr>
          <w:p>
            <w:pPr>
              <w:widowControl/>
              <w:jc w:val="left"/>
              <w:rPr>
                <w:rFonts w:ascii="仿宋" w:hAnsi="仿宋" w:eastAsia="仿宋" w:cs="Times New Roman"/>
                <w:color w:val="000000"/>
                <w:kern w:val="0"/>
                <w:sz w:val="22"/>
              </w:rPr>
            </w:pPr>
            <w:r>
              <w:rPr>
                <w:rFonts w:ascii="仿宋" w:hAnsi="仿宋" w:eastAsia="仿宋" w:cs="Times New Roman"/>
                <w:color w:val="000000"/>
                <w:kern w:val="0"/>
                <w:sz w:val="22"/>
              </w:rPr>
              <w:t>　</w:t>
            </w:r>
          </w:p>
        </w:tc>
      </w:tr>
      <w:tr>
        <w:tblPrEx>
          <w:tblCellMar>
            <w:top w:w="0" w:type="dxa"/>
            <w:left w:w="108" w:type="dxa"/>
            <w:bottom w:w="0" w:type="dxa"/>
            <w:right w:w="108" w:type="dxa"/>
          </w:tblCellMar>
        </w:tblPrEx>
        <w:trPr>
          <w:trHeight w:val="301" w:hRule="atLeast"/>
        </w:trPr>
        <w:tc>
          <w:tcPr>
            <w:tcW w:w="274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现代移动通信技术</w:t>
            </w:r>
          </w:p>
        </w:tc>
        <w:tc>
          <w:tcPr>
            <w:tcW w:w="485"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Times New Roman"/>
                <w:color w:val="000000"/>
                <w:kern w:val="0"/>
                <w:sz w:val="22"/>
              </w:rPr>
            </w:pPr>
            <w:r>
              <w:rPr>
                <w:rFonts w:ascii="仿宋" w:hAnsi="仿宋" w:eastAsia="仿宋" w:cs="Times New Roman"/>
                <w:color w:val="000000"/>
                <w:kern w:val="0"/>
                <w:sz w:val="22"/>
              </w:rPr>
              <w:t>3</w:t>
            </w:r>
          </w:p>
        </w:tc>
        <w:tc>
          <w:tcPr>
            <w:tcW w:w="856"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Times New Roman"/>
                <w:color w:val="000000"/>
                <w:kern w:val="0"/>
                <w:sz w:val="22"/>
              </w:rPr>
            </w:pPr>
            <w:r>
              <w:rPr>
                <w:rFonts w:ascii="仿宋" w:hAnsi="仿宋" w:eastAsia="仿宋" w:cs="Times New Roman"/>
                <w:color w:val="000000"/>
                <w:kern w:val="0"/>
                <w:sz w:val="22"/>
              </w:rPr>
              <w:t>7800</w:t>
            </w:r>
          </w:p>
        </w:tc>
        <w:tc>
          <w:tcPr>
            <w:tcW w:w="100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10</w:t>
            </w:r>
          </w:p>
        </w:tc>
        <w:tc>
          <w:tcPr>
            <w:tcW w:w="942"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Times New Roman"/>
                <w:color w:val="000000"/>
                <w:kern w:val="0"/>
                <w:sz w:val="22"/>
              </w:rPr>
            </w:pPr>
            <w:r>
              <w:rPr>
                <w:rFonts w:ascii="仿宋" w:hAnsi="仿宋" w:eastAsia="仿宋" w:cs="Times New Roman"/>
                <w:color w:val="000000"/>
                <w:kern w:val="0"/>
                <w:sz w:val="22"/>
              </w:rPr>
              <w:t>7</w:t>
            </w:r>
          </w:p>
        </w:tc>
        <w:tc>
          <w:tcPr>
            <w:tcW w:w="1006"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Times New Roman"/>
                <w:color w:val="000000"/>
                <w:kern w:val="0"/>
                <w:sz w:val="22"/>
              </w:rPr>
            </w:pPr>
            <w:r>
              <w:rPr>
                <w:rFonts w:ascii="仿宋" w:hAnsi="仿宋" w:eastAsia="仿宋" w:cs="Times New Roman"/>
                <w:color w:val="000000"/>
                <w:kern w:val="0"/>
                <w:sz w:val="22"/>
              </w:rPr>
              <w:t>3</w:t>
            </w:r>
          </w:p>
        </w:tc>
        <w:tc>
          <w:tcPr>
            <w:tcW w:w="2655" w:type="dxa"/>
            <w:tcBorders>
              <w:top w:val="nil"/>
              <w:left w:val="nil"/>
              <w:bottom w:val="single" w:color="auto" w:sz="4" w:space="0"/>
              <w:right w:val="single" w:color="auto" w:sz="4" w:space="0"/>
            </w:tcBorders>
            <w:shd w:val="clear" w:color="auto" w:fill="auto"/>
            <w:noWrap/>
            <w:vAlign w:val="bottom"/>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与中兴通讯联合办学专业</w:t>
            </w:r>
          </w:p>
        </w:tc>
      </w:tr>
      <w:tr>
        <w:tblPrEx>
          <w:tblCellMar>
            <w:top w:w="0" w:type="dxa"/>
            <w:left w:w="108" w:type="dxa"/>
            <w:bottom w:w="0" w:type="dxa"/>
            <w:right w:w="108" w:type="dxa"/>
          </w:tblCellMar>
        </w:tblPrEx>
        <w:trPr>
          <w:trHeight w:val="301" w:hRule="atLeast"/>
        </w:trPr>
        <w:tc>
          <w:tcPr>
            <w:tcW w:w="274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计算机网络技术</w:t>
            </w:r>
          </w:p>
        </w:tc>
        <w:tc>
          <w:tcPr>
            <w:tcW w:w="485"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Times New Roman"/>
                <w:color w:val="000000"/>
                <w:kern w:val="0"/>
                <w:sz w:val="22"/>
              </w:rPr>
            </w:pPr>
            <w:r>
              <w:rPr>
                <w:rFonts w:ascii="仿宋" w:hAnsi="仿宋" w:eastAsia="仿宋" w:cs="Times New Roman"/>
                <w:color w:val="000000"/>
                <w:kern w:val="0"/>
                <w:sz w:val="22"/>
              </w:rPr>
              <w:t>3</w:t>
            </w:r>
          </w:p>
        </w:tc>
        <w:tc>
          <w:tcPr>
            <w:tcW w:w="856"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Times New Roman"/>
                <w:color w:val="000000"/>
                <w:kern w:val="0"/>
                <w:sz w:val="22"/>
              </w:rPr>
            </w:pPr>
            <w:r>
              <w:rPr>
                <w:rFonts w:ascii="仿宋" w:hAnsi="仿宋" w:eastAsia="仿宋" w:cs="Times New Roman"/>
                <w:color w:val="000000"/>
                <w:kern w:val="0"/>
                <w:sz w:val="22"/>
              </w:rPr>
              <w:t>7800</w:t>
            </w:r>
          </w:p>
        </w:tc>
        <w:tc>
          <w:tcPr>
            <w:tcW w:w="100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20</w:t>
            </w:r>
          </w:p>
        </w:tc>
        <w:tc>
          <w:tcPr>
            <w:tcW w:w="942"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Times New Roman"/>
                <w:color w:val="000000"/>
                <w:kern w:val="0"/>
                <w:sz w:val="22"/>
              </w:rPr>
            </w:pPr>
            <w:r>
              <w:rPr>
                <w:rFonts w:ascii="仿宋" w:hAnsi="仿宋" w:eastAsia="仿宋" w:cs="Times New Roman"/>
                <w:color w:val="000000"/>
                <w:kern w:val="0"/>
                <w:sz w:val="22"/>
              </w:rPr>
              <w:t>15</w:t>
            </w:r>
          </w:p>
        </w:tc>
        <w:tc>
          <w:tcPr>
            <w:tcW w:w="1006"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Times New Roman"/>
                <w:color w:val="000000"/>
                <w:kern w:val="0"/>
                <w:sz w:val="22"/>
              </w:rPr>
            </w:pPr>
            <w:r>
              <w:rPr>
                <w:rFonts w:ascii="仿宋" w:hAnsi="仿宋" w:eastAsia="仿宋" w:cs="Times New Roman"/>
                <w:color w:val="000000"/>
                <w:kern w:val="0"/>
                <w:sz w:val="22"/>
              </w:rPr>
              <w:t>5</w:t>
            </w:r>
          </w:p>
        </w:tc>
        <w:tc>
          <w:tcPr>
            <w:tcW w:w="2655" w:type="dxa"/>
            <w:tcBorders>
              <w:top w:val="nil"/>
              <w:left w:val="nil"/>
              <w:bottom w:val="single" w:color="auto" w:sz="4" w:space="0"/>
              <w:right w:val="single" w:color="auto" w:sz="4" w:space="0"/>
            </w:tcBorders>
            <w:shd w:val="clear" w:color="auto" w:fill="auto"/>
            <w:noWrap/>
            <w:vAlign w:val="bottom"/>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与中兴通讯联合办学专业</w:t>
            </w:r>
          </w:p>
        </w:tc>
      </w:tr>
      <w:tr>
        <w:tblPrEx>
          <w:tblCellMar>
            <w:top w:w="0" w:type="dxa"/>
            <w:left w:w="108" w:type="dxa"/>
            <w:bottom w:w="0" w:type="dxa"/>
            <w:right w:w="108" w:type="dxa"/>
          </w:tblCellMar>
        </w:tblPrEx>
        <w:trPr>
          <w:trHeight w:val="301" w:hRule="atLeast"/>
        </w:trPr>
        <w:tc>
          <w:tcPr>
            <w:tcW w:w="2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p>
        </w:tc>
        <w:tc>
          <w:tcPr>
            <w:tcW w:w="48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仿宋" w:hAnsi="仿宋" w:eastAsia="仿宋" w:cs="Times New Roman"/>
                <w:color w:val="000000"/>
                <w:kern w:val="0"/>
                <w:sz w:val="22"/>
              </w:rPr>
            </w:pPr>
          </w:p>
        </w:tc>
        <w:tc>
          <w:tcPr>
            <w:tcW w:w="85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仿宋" w:hAnsi="仿宋" w:eastAsia="仿宋" w:cs="Times New Roman"/>
                <w:color w:val="000000"/>
                <w:kern w:val="0"/>
                <w:sz w:val="22"/>
              </w:rPr>
            </w:pPr>
            <w:r>
              <w:rPr>
                <w:rFonts w:hint="eastAsia" w:ascii="仿宋" w:hAnsi="仿宋" w:eastAsia="仿宋" w:cs="Times New Roman"/>
                <w:color w:val="000000"/>
                <w:kern w:val="0"/>
                <w:sz w:val="22"/>
              </w:rPr>
              <w:t>合计</w:t>
            </w:r>
          </w:p>
        </w:tc>
        <w:tc>
          <w:tcPr>
            <w:tcW w:w="100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r>
              <w:rPr>
                <w:rFonts w:ascii="仿宋" w:hAnsi="仿宋" w:eastAsia="仿宋" w:cs="宋体"/>
                <w:color w:val="000000"/>
                <w:kern w:val="0"/>
                <w:sz w:val="20"/>
                <w:szCs w:val="20"/>
              </w:rPr>
              <w:fldChar w:fldCharType="begin"/>
            </w:r>
            <w:r>
              <w:rPr>
                <w:rFonts w:ascii="仿宋" w:hAnsi="仿宋" w:eastAsia="仿宋" w:cs="宋体"/>
                <w:color w:val="000000"/>
                <w:kern w:val="0"/>
                <w:sz w:val="20"/>
                <w:szCs w:val="20"/>
              </w:rPr>
              <w:instrText xml:space="preserve"> </w:instrText>
            </w:r>
            <w:r>
              <w:rPr>
                <w:rFonts w:hint="eastAsia" w:ascii="仿宋" w:hAnsi="仿宋" w:eastAsia="仿宋" w:cs="宋体"/>
                <w:color w:val="000000"/>
                <w:kern w:val="0"/>
                <w:sz w:val="20"/>
                <w:szCs w:val="20"/>
              </w:rPr>
              <w:instrText xml:space="preserve">=SUM(ABOVE)</w:instrText>
            </w:r>
            <w:r>
              <w:rPr>
                <w:rFonts w:ascii="仿宋" w:hAnsi="仿宋" w:eastAsia="仿宋" w:cs="宋体"/>
                <w:color w:val="000000"/>
                <w:kern w:val="0"/>
                <w:sz w:val="20"/>
                <w:szCs w:val="20"/>
              </w:rPr>
              <w:instrText xml:space="preserve"> </w:instrText>
            </w:r>
            <w:r>
              <w:rPr>
                <w:rFonts w:ascii="仿宋" w:hAnsi="仿宋" w:eastAsia="仿宋" w:cs="宋体"/>
                <w:color w:val="000000"/>
                <w:kern w:val="0"/>
                <w:sz w:val="20"/>
                <w:szCs w:val="20"/>
              </w:rPr>
              <w:fldChar w:fldCharType="separate"/>
            </w:r>
            <w:r>
              <w:rPr>
                <w:rFonts w:ascii="仿宋" w:hAnsi="仿宋" w:eastAsia="仿宋" w:cs="宋体"/>
                <w:color w:val="000000"/>
                <w:kern w:val="0"/>
                <w:sz w:val="20"/>
                <w:szCs w:val="20"/>
              </w:rPr>
              <w:t>450</w:t>
            </w:r>
            <w:r>
              <w:rPr>
                <w:rFonts w:ascii="仿宋" w:hAnsi="仿宋" w:eastAsia="仿宋" w:cs="宋体"/>
                <w:color w:val="000000"/>
                <w:kern w:val="0"/>
                <w:sz w:val="20"/>
                <w:szCs w:val="20"/>
              </w:rPr>
              <w:fldChar w:fldCharType="end"/>
            </w:r>
          </w:p>
        </w:tc>
        <w:tc>
          <w:tcPr>
            <w:tcW w:w="94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仿宋" w:hAnsi="仿宋" w:eastAsia="仿宋" w:cs="Times New Roman"/>
                <w:color w:val="000000"/>
                <w:kern w:val="0"/>
                <w:sz w:val="22"/>
              </w:rPr>
            </w:pPr>
            <w:r>
              <w:rPr>
                <w:rFonts w:ascii="仿宋" w:hAnsi="仿宋" w:eastAsia="仿宋" w:cs="Times New Roman"/>
                <w:color w:val="000000"/>
                <w:kern w:val="0"/>
                <w:sz w:val="22"/>
              </w:rPr>
              <w:fldChar w:fldCharType="begin"/>
            </w:r>
            <w:r>
              <w:rPr>
                <w:rFonts w:ascii="仿宋" w:hAnsi="仿宋" w:eastAsia="仿宋" w:cs="Times New Roman"/>
                <w:color w:val="000000"/>
                <w:kern w:val="0"/>
                <w:sz w:val="22"/>
              </w:rPr>
              <w:instrText xml:space="preserve"> =SUM(ABOVE) </w:instrText>
            </w:r>
            <w:r>
              <w:rPr>
                <w:rFonts w:ascii="仿宋" w:hAnsi="仿宋" w:eastAsia="仿宋" w:cs="Times New Roman"/>
                <w:color w:val="000000"/>
                <w:kern w:val="0"/>
                <w:sz w:val="22"/>
              </w:rPr>
              <w:fldChar w:fldCharType="separate"/>
            </w:r>
            <w:r>
              <w:rPr>
                <w:rFonts w:ascii="仿宋" w:hAnsi="仿宋" w:eastAsia="仿宋" w:cs="Times New Roman"/>
                <w:color w:val="000000"/>
                <w:kern w:val="0"/>
                <w:sz w:val="22"/>
              </w:rPr>
              <w:t>350</w:t>
            </w:r>
            <w:r>
              <w:rPr>
                <w:rFonts w:ascii="仿宋" w:hAnsi="仿宋" w:eastAsia="仿宋" w:cs="Times New Roman"/>
                <w:color w:val="000000"/>
                <w:kern w:val="0"/>
                <w:sz w:val="22"/>
              </w:rPr>
              <w:fldChar w:fldCharType="end"/>
            </w:r>
          </w:p>
        </w:tc>
        <w:tc>
          <w:tcPr>
            <w:tcW w:w="100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仿宋" w:hAnsi="仿宋" w:eastAsia="仿宋" w:cs="Times New Roman"/>
                <w:color w:val="000000"/>
                <w:kern w:val="0"/>
                <w:sz w:val="22"/>
              </w:rPr>
            </w:pPr>
            <w:r>
              <w:rPr>
                <w:rFonts w:ascii="仿宋" w:hAnsi="仿宋" w:eastAsia="仿宋" w:cs="Times New Roman"/>
                <w:color w:val="000000"/>
                <w:kern w:val="0"/>
                <w:sz w:val="22"/>
              </w:rPr>
              <w:fldChar w:fldCharType="begin"/>
            </w:r>
            <w:r>
              <w:rPr>
                <w:rFonts w:ascii="仿宋" w:hAnsi="仿宋" w:eastAsia="仿宋" w:cs="Times New Roman"/>
                <w:color w:val="000000"/>
                <w:kern w:val="0"/>
                <w:sz w:val="22"/>
              </w:rPr>
              <w:instrText xml:space="preserve"> =SUM(ABOVE) </w:instrText>
            </w:r>
            <w:r>
              <w:rPr>
                <w:rFonts w:ascii="仿宋" w:hAnsi="仿宋" w:eastAsia="仿宋" w:cs="Times New Roman"/>
                <w:color w:val="000000"/>
                <w:kern w:val="0"/>
                <w:sz w:val="22"/>
              </w:rPr>
              <w:fldChar w:fldCharType="separate"/>
            </w:r>
            <w:r>
              <w:rPr>
                <w:rFonts w:ascii="仿宋" w:hAnsi="仿宋" w:eastAsia="仿宋" w:cs="Times New Roman"/>
                <w:color w:val="000000"/>
                <w:kern w:val="0"/>
                <w:sz w:val="22"/>
              </w:rPr>
              <w:t>100</w:t>
            </w:r>
            <w:r>
              <w:rPr>
                <w:rFonts w:ascii="仿宋" w:hAnsi="仿宋" w:eastAsia="仿宋" w:cs="Times New Roman"/>
                <w:color w:val="000000"/>
                <w:kern w:val="0"/>
                <w:sz w:val="22"/>
              </w:rPr>
              <w:fldChar w:fldCharType="end"/>
            </w:r>
          </w:p>
        </w:tc>
        <w:tc>
          <w:tcPr>
            <w:tcW w:w="2655" w:type="dxa"/>
            <w:tcBorders>
              <w:top w:val="single" w:color="auto" w:sz="4" w:space="0"/>
              <w:left w:val="nil"/>
              <w:bottom w:val="single" w:color="auto" w:sz="4" w:space="0"/>
              <w:right w:val="single" w:color="auto" w:sz="4" w:space="0"/>
            </w:tcBorders>
            <w:shd w:val="clear" w:color="auto" w:fill="auto"/>
            <w:noWrap/>
            <w:vAlign w:val="bottom"/>
          </w:tcPr>
          <w:p>
            <w:pPr>
              <w:widowControl/>
              <w:jc w:val="left"/>
              <w:rPr>
                <w:rFonts w:ascii="仿宋" w:hAnsi="仿宋" w:eastAsia="仿宋" w:cs="宋体"/>
                <w:color w:val="000000"/>
                <w:kern w:val="0"/>
                <w:sz w:val="20"/>
                <w:szCs w:val="20"/>
              </w:rPr>
            </w:pPr>
          </w:p>
        </w:tc>
      </w:tr>
    </w:tbl>
    <w:p>
      <w:pPr>
        <w:pStyle w:val="7"/>
        <w:shd w:val="clear" w:color="auto" w:fill="FFFFFF"/>
        <w:spacing w:before="0" w:beforeAutospacing="0" w:after="0" w:afterAutospacing="0" w:line="36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注：以上计划原则上按计划数执行，实际录取时根据上线人数可调整人数。</w:t>
      </w:r>
    </w:p>
    <w:p>
      <w:pPr>
        <w:autoSpaceDE w:val="0"/>
        <w:autoSpaceDN w:val="0"/>
        <w:adjustRightInd w:val="0"/>
        <w:snapToGrid w:val="0"/>
        <w:spacing w:line="360" w:lineRule="exact"/>
        <w:jc w:val="center"/>
        <w:rPr>
          <w:rFonts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第三章  报  名</w:t>
      </w:r>
    </w:p>
    <w:p>
      <w:pPr>
        <w:autoSpaceDE w:val="0"/>
        <w:autoSpaceDN w:val="0"/>
        <w:adjustRightInd w:val="0"/>
        <w:snapToGrid w:val="0"/>
        <w:spacing w:line="360" w:lineRule="exact"/>
        <w:ind w:firstLine="480" w:firstLineChars="200"/>
        <w:rPr>
          <w:rFonts w:ascii="仿宋" w:hAnsi="仿宋" w:eastAsia="仿宋" w:cs="仿宋"/>
          <w:color w:val="000000" w:themeColor="text1"/>
          <w:kern w:val="0"/>
          <w:sz w:val="24"/>
          <w:szCs w:val="24"/>
          <w:lang w:val="zh-CN"/>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一、招生对象：</w:t>
      </w:r>
      <w:r>
        <w:rPr>
          <w:rFonts w:hint="eastAsia" w:ascii="仿宋" w:hAnsi="仿宋" w:eastAsia="仿宋" w:cs="仿宋"/>
          <w:color w:val="000000" w:themeColor="text1"/>
          <w:kern w:val="0"/>
          <w:sz w:val="24"/>
          <w:szCs w:val="24"/>
          <w:lang w:val="zh-CN"/>
          <w14:textFill>
            <w14:solidFill>
              <w14:schemeClr w14:val="tx1"/>
            </w14:solidFill>
          </w14:textFill>
        </w:rPr>
        <w:t>已参加普通高考报名考生，不含定向生，并符合以下条件：</w:t>
      </w:r>
      <w:r>
        <w:rPr>
          <w:rFonts w:hint="eastAsia" w:ascii="仿宋" w:hAnsi="仿宋" w:eastAsia="仿宋" w:cs="仿宋"/>
          <w:color w:val="000000" w:themeColor="text1"/>
          <w:kern w:val="0"/>
          <w:sz w:val="24"/>
          <w:szCs w:val="24"/>
          <w14:textFill>
            <w14:solidFill>
              <w14:schemeClr w14:val="tx1"/>
            </w14:solidFill>
          </w14:textFill>
        </w:rPr>
        <w:t xml:space="preserve">       </w:t>
      </w:r>
    </w:p>
    <w:p>
      <w:pPr>
        <w:autoSpaceDE w:val="0"/>
        <w:autoSpaceDN w:val="0"/>
        <w:adjustRightInd w:val="0"/>
        <w:snapToGrid w:val="0"/>
        <w:spacing w:line="360" w:lineRule="exact"/>
        <w:ind w:firstLine="480" w:firstLineChars="200"/>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zh-CN"/>
          <w14:textFill>
            <w14:solidFill>
              <w14:schemeClr w14:val="tx1"/>
            </w14:solidFill>
          </w14:textFill>
        </w:rPr>
        <w:t>中等职业教育在读期间的所有课程均合格，达到所在学校及专业的毕业要求。所有考试科目平均成绩排名在同年级同专业学生前</w:t>
      </w:r>
      <w:r>
        <w:rPr>
          <w:rFonts w:hint="eastAsia" w:ascii="仿宋" w:hAnsi="仿宋" w:eastAsia="仿宋" w:cs="仿宋"/>
          <w:color w:val="000000" w:themeColor="text1"/>
          <w:kern w:val="0"/>
          <w:sz w:val="24"/>
          <w:szCs w:val="24"/>
          <w14:textFill>
            <w14:solidFill>
              <w14:schemeClr w14:val="tx1"/>
            </w14:solidFill>
          </w14:textFill>
        </w:rPr>
        <w:t>20%</w:t>
      </w:r>
      <w:r>
        <w:rPr>
          <w:rFonts w:hint="eastAsia" w:ascii="仿宋" w:hAnsi="仿宋" w:eastAsia="仿宋" w:cs="仿宋"/>
          <w:color w:val="000000" w:themeColor="text1"/>
          <w:kern w:val="0"/>
          <w:sz w:val="24"/>
          <w:szCs w:val="24"/>
          <w:lang w:val="zh-CN"/>
          <w14:textFill>
            <w14:solidFill>
              <w14:schemeClr w14:val="tx1"/>
            </w14:solidFill>
          </w14:textFill>
        </w:rPr>
        <w:t>以内（可不含最后一学期成绩），如果有学生放弃报考，可顺次递补。</w:t>
      </w:r>
    </w:p>
    <w:p>
      <w:pPr>
        <w:widowControl/>
        <w:snapToGrid w:val="0"/>
        <w:spacing w:line="360" w:lineRule="exact"/>
        <w:ind w:firstLine="480" w:firstLineChars="200"/>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二、报名程序：</w:t>
      </w:r>
    </w:p>
    <w:p>
      <w:pPr>
        <w:widowControl/>
        <w:snapToGrid w:val="0"/>
        <w:spacing w:line="360" w:lineRule="exact"/>
        <w:ind w:firstLine="480" w:firstLineChars="200"/>
        <w:rPr>
          <w:rFonts w:ascii="仿宋" w:hAnsi="仿宋" w:eastAsia="仿宋" w:cs="仿宋"/>
          <w:color w:val="000000" w:themeColor="text1"/>
          <w:kern w:val="0"/>
          <w:sz w:val="24"/>
          <w:szCs w:val="24"/>
          <w:lang w:val="zh-CN"/>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1.4月1日-4月6日各中等职业学校组织推优工作，</w:t>
      </w:r>
      <w:r>
        <w:rPr>
          <w:rFonts w:hint="eastAsia" w:ascii="仿宋" w:hAnsi="仿宋" w:eastAsia="仿宋" w:cs="仿宋"/>
          <w:color w:val="000000" w:themeColor="text1"/>
          <w:kern w:val="0"/>
          <w:sz w:val="24"/>
          <w:szCs w:val="24"/>
          <w:lang w:val="zh-CN"/>
          <w14:textFill>
            <w14:solidFill>
              <w14:schemeClr w14:val="tx1"/>
            </w14:solidFill>
          </w14:textFill>
        </w:rPr>
        <w:t>负责汇总本校符合报名条件的中职毕业生申请，填写《2022年优秀中职毕业生直升高职（专科）申请表》（见附件1）</w:t>
      </w:r>
      <w:r>
        <w:rPr>
          <w:rFonts w:hint="eastAsia" w:ascii="仿宋" w:hAnsi="仿宋" w:eastAsia="仿宋" w:cs="仿宋"/>
          <w:color w:val="000000" w:themeColor="text1"/>
          <w:kern w:val="0"/>
          <w:sz w:val="24"/>
          <w:szCs w:val="24"/>
          <w14:textFill>
            <w14:solidFill>
              <w14:schemeClr w14:val="tx1"/>
            </w14:solidFill>
          </w14:textFill>
        </w:rPr>
        <w:t>。</w:t>
      </w:r>
      <w:r>
        <w:rPr>
          <w:rFonts w:hint="eastAsia" w:ascii="仿宋" w:hAnsi="仿宋" w:eastAsia="仿宋" w:cs="仿宋"/>
          <w:color w:val="000000" w:themeColor="text1"/>
          <w:kern w:val="0"/>
          <w:sz w:val="24"/>
          <w:szCs w:val="24"/>
          <w:lang w:val="zh-CN"/>
          <w14:textFill>
            <w14:solidFill>
              <w14:schemeClr w14:val="tx1"/>
            </w14:solidFill>
          </w14:textFill>
        </w:rPr>
        <w:t>经初审后将符合条件的申请学生名单，分别在申请人班级及校园内醒目位置和校园网上公示（时间不少于</w:t>
      </w:r>
      <w:r>
        <w:rPr>
          <w:rFonts w:hint="eastAsia" w:ascii="仿宋" w:hAnsi="仿宋" w:eastAsia="仿宋" w:cs="仿宋"/>
          <w:color w:val="000000" w:themeColor="text1"/>
          <w:kern w:val="0"/>
          <w:sz w:val="24"/>
          <w:szCs w:val="24"/>
          <w14:textFill>
            <w14:solidFill>
              <w14:schemeClr w14:val="tx1"/>
            </w14:solidFill>
          </w14:textFill>
        </w:rPr>
        <w:t>3</w:t>
      </w:r>
      <w:r>
        <w:rPr>
          <w:rFonts w:hint="eastAsia" w:ascii="仿宋" w:hAnsi="仿宋" w:eastAsia="仿宋" w:cs="仿宋"/>
          <w:color w:val="000000" w:themeColor="text1"/>
          <w:kern w:val="0"/>
          <w:sz w:val="24"/>
          <w:szCs w:val="24"/>
          <w:lang w:val="zh-CN"/>
          <w14:textFill>
            <w14:solidFill>
              <w14:schemeClr w14:val="tx1"/>
            </w14:solidFill>
          </w14:textFill>
        </w:rPr>
        <w:t>天）。</w:t>
      </w:r>
    </w:p>
    <w:p>
      <w:pPr>
        <w:widowControl/>
        <w:snapToGrid w:val="0"/>
        <w:spacing w:line="360" w:lineRule="exact"/>
        <w:ind w:firstLine="480" w:firstLineChars="200"/>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2.4</w:t>
      </w:r>
      <w:r>
        <w:rPr>
          <w:rFonts w:hint="eastAsia" w:ascii="仿宋" w:hAnsi="仿宋" w:eastAsia="仿宋" w:cs="仿宋"/>
          <w:color w:val="000000" w:themeColor="text1"/>
          <w:kern w:val="0"/>
          <w:sz w:val="24"/>
          <w:szCs w:val="24"/>
          <w:highlight w:val="none"/>
          <w14:textFill>
            <w14:solidFill>
              <w14:schemeClr w14:val="tx1"/>
            </w14:solidFill>
          </w14:textFill>
        </w:rPr>
        <w:t>月7日1</w:t>
      </w:r>
      <w:r>
        <w:rPr>
          <w:rFonts w:hint="eastAsia" w:ascii="仿宋" w:hAnsi="仿宋" w:eastAsia="仿宋" w:cs="仿宋"/>
          <w:color w:val="000000" w:themeColor="text1"/>
          <w:kern w:val="0"/>
          <w:sz w:val="24"/>
          <w:szCs w:val="24"/>
          <w14:textFill>
            <w14:solidFill>
              <w14:schemeClr w14:val="tx1"/>
            </w14:solidFill>
          </w14:textFill>
        </w:rPr>
        <w:t>8时前，</w:t>
      </w:r>
      <w:r>
        <w:rPr>
          <w:rFonts w:hint="eastAsia" w:ascii="仿宋" w:hAnsi="仿宋" w:eastAsia="仿宋" w:cs="仿宋"/>
          <w:color w:val="000000" w:themeColor="text1"/>
          <w:kern w:val="0"/>
          <w:sz w:val="24"/>
          <w:szCs w:val="24"/>
          <w:lang w:val="zh-CN"/>
          <w14:textFill>
            <w14:solidFill>
              <w14:schemeClr w14:val="tx1"/>
            </w14:solidFill>
          </w14:textFill>
        </w:rPr>
        <w:t>各中等职业学校将</w:t>
      </w:r>
      <w:r>
        <w:rPr>
          <w:rFonts w:hint="eastAsia" w:ascii="仿宋" w:hAnsi="仿宋" w:eastAsia="仿宋" w:cs="仿宋"/>
          <w:color w:val="000000" w:themeColor="text1"/>
          <w:kern w:val="0"/>
          <w:sz w:val="24"/>
          <w:szCs w:val="24"/>
          <w14:textFill>
            <w14:solidFill>
              <w14:schemeClr w14:val="tx1"/>
            </w14:solidFill>
          </w14:textFill>
        </w:rPr>
        <w:t>公示期满且符合推优条件的毕业生</w:t>
      </w:r>
      <w:r>
        <w:rPr>
          <w:rFonts w:hint="eastAsia" w:ascii="仿宋" w:hAnsi="仿宋" w:eastAsia="仿宋" w:cs="仿宋"/>
          <w:color w:val="000000" w:themeColor="text1"/>
          <w:kern w:val="0"/>
          <w:sz w:val="24"/>
          <w:szCs w:val="24"/>
          <w:lang w:val="zh-CN"/>
          <w14:textFill>
            <w14:solidFill>
              <w14:schemeClr w14:val="tx1"/>
            </w14:solidFill>
          </w14:textFill>
        </w:rPr>
        <w:t>《202</w:t>
      </w:r>
      <w:r>
        <w:rPr>
          <w:rFonts w:hint="eastAsia" w:ascii="仿宋" w:hAnsi="仿宋" w:eastAsia="仿宋" w:cs="仿宋"/>
          <w:color w:val="000000" w:themeColor="text1"/>
          <w:kern w:val="0"/>
          <w:sz w:val="24"/>
          <w:szCs w:val="24"/>
          <w14:textFill>
            <w14:solidFill>
              <w14:schemeClr w14:val="tx1"/>
            </w14:solidFill>
          </w14:textFill>
        </w:rPr>
        <w:t>2</w:t>
      </w:r>
      <w:r>
        <w:rPr>
          <w:rFonts w:hint="eastAsia" w:ascii="仿宋" w:hAnsi="仿宋" w:eastAsia="仿宋" w:cs="仿宋"/>
          <w:color w:val="000000" w:themeColor="text1"/>
          <w:kern w:val="0"/>
          <w:sz w:val="24"/>
          <w:szCs w:val="24"/>
          <w:lang w:val="zh-CN"/>
          <w14:textFill>
            <w14:solidFill>
              <w14:schemeClr w14:val="tx1"/>
            </w14:solidFill>
          </w14:textFill>
        </w:rPr>
        <w:t>年优秀中职毕业生直升高职（专科）申请表》、汇总表、印证材料、公示情况等报我院进行审查测评。各中等职业学校的校长是直接责任人，要亲自对本校报名学生的申请条件审核把关，并在申请表上签字盖章。</w:t>
      </w:r>
    </w:p>
    <w:p>
      <w:pPr>
        <w:pStyle w:val="7"/>
        <w:shd w:val="clear" w:color="auto" w:fill="FFFFFF"/>
        <w:snapToGrid w:val="0"/>
        <w:spacing w:before="0" w:beforeAutospacing="0" w:after="0" w:afterAutospacing="0" w:line="360" w:lineRule="exact"/>
        <w:rPr>
          <w:rFonts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所交材料清单：</w:t>
      </w:r>
    </w:p>
    <w:p>
      <w:pPr>
        <w:pStyle w:val="7"/>
        <w:shd w:val="clear" w:color="auto" w:fill="FFFFFF"/>
        <w:snapToGrid w:val="0"/>
        <w:spacing w:before="0" w:beforeAutospacing="0" w:after="0" w:afterAutospacing="0" w:line="360" w:lineRule="exact"/>
        <w:ind w:firstLine="480" w:firstLineChars="200"/>
        <w:rPr>
          <w:rFonts w:hint="eastAsia" w:ascii="黑体" w:hAnsi="黑体" w:eastAsia="黑体" w:cs="黑体"/>
          <w:bCs/>
          <w:color w:val="000000" w:themeColor="text1"/>
          <w14:textFill>
            <w14:solidFill>
              <w14:schemeClr w14:val="tx1"/>
            </w14:solidFill>
          </w14:textFill>
        </w:rPr>
      </w:pPr>
      <w:r>
        <w:rPr>
          <w:rFonts w:hint="eastAsia" w:ascii="黑体" w:hAnsi="黑体" w:eastAsia="黑体" w:cs="黑体"/>
          <w:bCs/>
          <w:color w:val="000000" w:themeColor="text1"/>
          <w14:textFill>
            <w14:solidFill>
              <w14:schemeClr w14:val="tx1"/>
            </w14:solidFill>
          </w14:textFill>
        </w:rPr>
        <w:t>（1）《2022年优秀中职毕业生直升高职（专科）申请表》(附件1)纸制一份</w:t>
      </w:r>
    </w:p>
    <w:p>
      <w:pPr>
        <w:pStyle w:val="7"/>
        <w:shd w:val="clear" w:color="auto" w:fill="FFFFFF"/>
        <w:snapToGrid w:val="0"/>
        <w:spacing w:before="0" w:beforeAutospacing="0" w:after="0" w:afterAutospacing="0" w:line="360" w:lineRule="exact"/>
        <w:ind w:firstLine="480" w:firstLineChars="200"/>
        <w:rPr>
          <w:rFonts w:hint="eastAsia" w:ascii="黑体" w:hAnsi="黑体" w:eastAsia="黑体" w:cs="黑体"/>
          <w:bCs/>
          <w:color w:val="000000" w:themeColor="text1"/>
          <w14:textFill>
            <w14:solidFill>
              <w14:schemeClr w14:val="tx1"/>
            </w14:solidFill>
          </w14:textFill>
        </w:rPr>
      </w:pPr>
      <w:r>
        <w:rPr>
          <w:rFonts w:hint="eastAsia" w:ascii="黑体" w:hAnsi="黑体" w:eastAsia="黑体" w:cs="黑体"/>
          <w:bCs/>
          <w:color w:val="000000" w:themeColor="text1"/>
          <w14:textFill>
            <w14:solidFill>
              <w14:schemeClr w14:val="tx1"/>
            </w14:solidFill>
          </w14:textFill>
        </w:rPr>
        <w:t>（2）《学生成绩单》（附件2），电子版和纸制各一份。</w:t>
      </w:r>
    </w:p>
    <w:p>
      <w:pPr>
        <w:pStyle w:val="7"/>
        <w:shd w:val="clear" w:color="auto" w:fill="FFFFFF"/>
        <w:snapToGrid w:val="0"/>
        <w:spacing w:before="0" w:beforeAutospacing="0" w:after="0" w:afterAutospacing="0" w:line="360" w:lineRule="exact"/>
        <w:ind w:firstLine="480" w:firstLineChars="200"/>
        <w:rPr>
          <w:rFonts w:hint="eastAsia" w:ascii="黑体" w:hAnsi="黑体" w:eastAsia="黑体" w:cs="黑体"/>
          <w:bCs/>
          <w:color w:val="000000" w:themeColor="text1"/>
          <w14:textFill>
            <w14:solidFill>
              <w14:schemeClr w14:val="tx1"/>
            </w14:solidFill>
          </w14:textFill>
        </w:rPr>
      </w:pPr>
      <w:r>
        <w:rPr>
          <w:rFonts w:hint="eastAsia" w:ascii="黑体" w:hAnsi="黑体" w:eastAsia="黑体" w:cs="黑体"/>
          <w:bCs/>
          <w:color w:val="000000" w:themeColor="text1"/>
          <w14:textFill>
            <w14:solidFill>
              <w14:schemeClr w14:val="tx1"/>
            </w14:solidFill>
          </w14:textFill>
        </w:rPr>
        <w:t>（3） 身份证复印件、印证材料，纸制各一份。</w:t>
      </w:r>
    </w:p>
    <w:p>
      <w:pPr>
        <w:pStyle w:val="7"/>
        <w:shd w:val="clear" w:color="auto" w:fill="FFFFFF"/>
        <w:snapToGrid w:val="0"/>
        <w:spacing w:before="0" w:beforeAutospacing="0" w:after="0" w:afterAutospacing="0" w:line="360" w:lineRule="exact"/>
        <w:ind w:firstLine="480" w:firstLineChars="200"/>
        <w:rPr>
          <w:rFonts w:hint="eastAsia" w:ascii="黑体" w:hAnsi="黑体" w:eastAsia="黑体" w:cs="黑体"/>
          <w:bCs/>
          <w:color w:val="000000" w:themeColor="text1"/>
          <w14:textFill>
            <w14:solidFill>
              <w14:schemeClr w14:val="tx1"/>
            </w14:solidFill>
          </w14:textFill>
        </w:rPr>
      </w:pPr>
      <w:r>
        <w:rPr>
          <w:rFonts w:hint="eastAsia" w:ascii="黑体" w:hAnsi="黑体" w:eastAsia="黑体" w:cs="黑体"/>
          <w:bCs/>
          <w:color w:val="000000" w:themeColor="text1"/>
          <w14:textFill>
            <w14:solidFill>
              <w14:schemeClr w14:val="tx1"/>
            </w14:solidFill>
          </w14:textFill>
        </w:rPr>
        <w:t>（4）《2022年优秀中职毕业生直升高职（专科）汇总表》（附件3）纸制和电子版各一份。</w:t>
      </w:r>
    </w:p>
    <w:p>
      <w:pPr>
        <w:pStyle w:val="7"/>
        <w:shd w:val="clear" w:color="auto" w:fill="FFFFFF"/>
        <w:snapToGrid w:val="0"/>
        <w:spacing w:before="0" w:beforeAutospacing="0" w:after="0" w:afterAutospacing="0" w:line="360" w:lineRule="exact"/>
        <w:ind w:firstLine="480" w:firstLineChars="200"/>
        <w:rPr>
          <w:rFonts w:hint="eastAsia" w:ascii="黑体" w:hAnsi="黑体" w:eastAsia="黑体" w:cs="黑体"/>
          <w:bCs/>
          <w:color w:val="000000" w:themeColor="text1"/>
          <w14:textFill>
            <w14:solidFill>
              <w14:schemeClr w14:val="tx1"/>
            </w14:solidFill>
          </w14:textFill>
        </w:rPr>
      </w:pPr>
      <w:r>
        <w:rPr>
          <w:rFonts w:hint="eastAsia" w:ascii="黑体" w:hAnsi="黑体" w:eastAsia="黑体" w:cs="黑体"/>
          <w:bCs/>
          <w:color w:val="000000" w:themeColor="text1"/>
          <w14:textFill>
            <w14:solidFill>
              <w14:schemeClr w14:val="tx1"/>
            </w14:solidFill>
          </w14:textFill>
        </w:rPr>
        <w:t>（5）学生录取册复印件一份，加盖公章（只需要推优学生所在页的复印件，并将学生信息打√标示出来）。</w:t>
      </w:r>
    </w:p>
    <w:p>
      <w:pPr>
        <w:pStyle w:val="7"/>
        <w:shd w:val="clear" w:color="auto" w:fill="FFFFFF"/>
        <w:snapToGrid w:val="0"/>
        <w:spacing w:before="0" w:beforeAutospacing="0" w:after="0" w:afterAutospacing="0" w:line="360" w:lineRule="exact"/>
        <w:ind w:firstLine="480" w:firstLineChars="200"/>
        <w:rPr>
          <w:rFonts w:hint="eastAsia" w:ascii="黑体" w:hAnsi="黑体" w:eastAsia="黑体" w:cs="黑体"/>
          <w:bCs/>
          <w:color w:val="000000" w:themeColor="text1"/>
          <w14:textFill>
            <w14:solidFill>
              <w14:schemeClr w14:val="tx1"/>
            </w14:solidFill>
          </w14:textFill>
        </w:rPr>
      </w:pPr>
      <w:r>
        <w:rPr>
          <w:rFonts w:hint="eastAsia" w:ascii="黑体" w:hAnsi="黑体" w:eastAsia="黑体" w:cs="黑体"/>
          <w:bCs/>
          <w:color w:val="000000" w:themeColor="text1"/>
          <w14:textFill>
            <w14:solidFill>
              <w14:schemeClr w14:val="tx1"/>
            </w14:solidFill>
          </w14:textFill>
        </w:rPr>
        <w:t>（6）《公示表》纸制一份。</w:t>
      </w:r>
    </w:p>
    <w:p>
      <w:pPr>
        <w:pStyle w:val="7"/>
        <w:shd w:val="clear" w:color="auto" w:fill="FFFFFF"/>
        <w:snapToGrid w:val="0"/>
        <w:spacing w:before="0" w:beforeAutospacing="0" w:after="0" w:afterAutospacing="0" w:line="360" w:lineRule="exact"/>
        <w:ind w:firstLine="600" w:firstLineChars="250"/>
        <w:rPr>
          <w:rFonts w:ascii="仿宋" w:hAnsi="仿宋" w:eastAsia="仿宋" w:cs="仿宋"/>
          <w:color w:val="000000" w:themeColor="text1"/>
          <w14:textFill>
            <w14:solidFill>
              <w14:schemeClr w14:val="tx1"/>
            </w14:solidFill>
          </w14:textFill>
        </w:rPr>
      </w:pPr>
      <w:r>
        <w:rPr>
          <w:rFonts w:hint="eastAsia" w:ascii="仿宋" w:hAnsi="仿宋" w:eastAsia="仿宋" w:cs="仿宋"/>
          <w:b w:val="0"/>
          <w:bCs w:val="0"/>
          <w:color w:val="000000" w:themeColor="text1"/>
          <w:u w:val="single"/>
          <w14:textFill>
            <w14:solidFill>
              <w14:schemeClr w14:val="tx1"/>
            </w14:solidFill>
          </w14:textFill>
        </w:rPr>
        <w:t>(1)-(3)是学生个人材料，需按报名学生顺序进行装订。 (4)-(6)是学校汇总材料。</w:t>
      </w:r>
      <w:r>
        <w:rPr>
          <w:rFonts w:hint="eastAsia" w:ascii="仿宋" w:hAnsi="仿宋" w:eastAsia="仿宋" w:cs="仿宋"/>
          <w:color w:val="000000" w:themeColor="text1"/>
          <w14:textFill>
            <w14:solidFill>
              <w14:schemeClr w14:val="tx1"/>
            </w14:solidFill>
          </w14:textFill>
        </w:rPr>
        <w:t>各中职院校需在</w:t>
      </w:r>
      <w:r>
        <w:rPr>
          <w:rFonts w:hint="eastAsia" w:ascii="仿宋" w:hAnsi="仿宋" w:eastAsia="仿宋" w:cs="仿宋"/>
          <w:color w:val="000000" w:themeColor="text1"/>
          <w:highlight w:val="none"/>
          <w14:textFill>
            <w14:solidFill>
              <w14:schemeClr w14:val="tx1"/>
            </w14:solidFill>
          </w14:textFill>
        </w:rPr>
        <w:t>4月7日18时</w:t>
      </w:r>
      <w:r>
        <w:rPr>
          <w:rFonts w:hint="eastAsia" w:ascii="仿宋" w:hAnsi="仿宋" w:eastAsia="仿宋" w:cs="仿宋"/>
          <w:color w:val="000000" w:themeColor="text1"/>
          <w14:textFill>
            <w14:solidFill>
              <w14:schemeClr w14:val="tx1"/>
            </w14:solidFill>
          </w14:textFill>
        </w:rPr>
        <w:t>前将电子版统一发送到邮箱54962933@qq.com，并将纸质材料统一邮寄或报送到我院。</w:t>
      </w:r>
    </w:p>
    <w:p>
      <w:pPr>
        <w:pStyle w:val="7"/>
        <w:shd w:val="clear" w:color="auto" w:fill="FFFFFF"/>
        <w:snapToGrid w:val="0"/>
        <w:spacing w:before="0" w:beforeAutospacing="0" w:after="0" w:afterAutospacing="0" w:line="36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邮寄地址：新疆石河子职业技术学院招生办    邮    编：832000</w:t>
      </w:r>
      <w:r>
        <w:rPr>
          <w:rFonts w:hint="eastAsia" w:ascii="仿宋" w:hAnsi="仿宋" w:eastAsia="仿宋" w:cs="仿宋"/>
          <w:color w:val="000000" w:themeColor="text1"/>
          <w14:textFill>
            <w14:solidFill>
              <w14:schemeClr w14:val="tx1"/>
            </w14:solidFill>
          </w14:textFill>
        </w:rPr>
        <w:br w:type="textWrapping"/>
      </w:r>
      <w:r>
        <w:rPr>
          <w:rFonts w:hint="eastAsia" w:ascii="仿宋" w:hAnsi="仿宋" w:eastAsia="仿宋" w:cs="仿宋"/>
          <w:color w:val="000000" w:themeColor="text1"/>
          <w14:textFill>
            <w14:solidFill>
              <w14:schemeClr w14:val="tx1"/>
            </w14:solidFill>
          </w14:textFill>
        </w:rPr>
        <w:t>  </w:t>
      </w:r>
      <w:r>
        <w:rPr>
          <w:rFonts w:hint="eastAsia" w:ascii="仿宋" w:hAnsi="仿宋" w:eastAsia="仿宋" w:cs="仿宋"/>
          <w:color w:val="000000" w:themeColor="text1"/>
          <w:lang w:val="en-US" w:eastAsia="zh-CN"/>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收 件 人：王冰</w:t>
      </w:r>
      <w:bookmarkStart w:id="1" w:name="_GoBack"/>
      <w:bookmarkEnd w:id="1"/>
      <w:r>
        <w:rPr>
          <w:rFonts w:hint="eastAsia" w:ascii="仿宋" w:hAnsi="仿宋" w:eastAsia="仿宋" w:cs="仿宋"/>
          <w:color w:val="000000" w:themeColor="text1"/>
          <w14:textFill>
            <w14:solidFill>
              <w14:schemeClr w14:val="tx1"/>
            </w14:solidFill>
          </w14:textFill>
        </w:rPr>
        <w:t>凝                     联系电话：15299190608</w:t>
      </w:r>
    </w:p>
    <w:p>
      <w:pPr>
        <w:pStyle w:val="7"/>
        <w:spacing w:before="0" w:beforeAutospacing="0" w:after="0" w:afterAutospacing="0" w:line="360" w:lineRule="exact"/>
        <w:jc w:val="center"/>
        <w:rPr>
          <w:rStyle w:val="10"/>
          <w:rFonts w:ascii="仿宋" w:hAnsi="仿宋" w:eastAsia="仿宋" w:cs="仿宋"/>
          <w:bCs w:val="0"/>
        </w:rPr>
      </w:pPr>
      <w:r>
        <w:rPr>
          <w:rStyle w:val="10"/>
          <w:rFonts w:hint="eastAsia" w:ascii="仿宋" w:hAnsi="仿宋" w:eastAsia="仿宋" w:cs="仿宋"/>
          <w:bCs w:val="0"/>
        </w:rPr>
        <w:t>第四章  考试办法与安排</w:t>
      </w:r>
    </w:p>
    <w:p>
      <w:pPr>
        <w:pStyle w:val="7"/>
        <w:shd w:val="clear" w:color="auto" w:fill="FFFFFF"/>
        <w:snapToGrid w:val="0"/>
        <w:spacing w:before="0" w:beforeAutospacing="0" w:after="0" w:afterAutospacing="0" w:line="36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一、考试：采用文化素质+综合素质评价选拔模式。</w:t>
      </w:r>
    </w:p>
    <w:p>
      <w:pPr>
        <w:pStyle w:val="7"/>
        <w:shd w:val="clear" w:color="auto" w:fill="FFFFFF"/>
        <w:snapToGrid w:val="0"/>
        <w:spacing w:before="0" w:beforeAutospacing="0" w:after="0" w:afterAutospacing="0" w:line="36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文化素质成绩统一使用在校毕业考试文化课平均成绩。</w:t>
      </w:r>
    </w:p>
    <w:p>
      <w:pPr>
        <w:pStyle w:val="7"/>
        <w:shd w:val="clear" w:color="auto" w:fill="FFFFFF"/>
        <w:snapToGrid w:val="0"/>
        <w:spacing w:before="0" w:beforeAutospacing="0" w:after="0" w:afterAutospacing="0" w:line="360" w:lineRule="exact"/>
        <w:ind w:firstLine="480" w:firstLineChars="200"/>
        <w:rPr>
          <w:rFonts w:ascii="仿宋_GB2312" w:hAnsi="Times New Roman" w:eastAsia="仿宋_GB2312" w:cs="Times New Roman"/>
          <w:bCs/>
        </w:rPr>
      </w:pPr>
      <w:r>
        <w:rPr>
          <w:rFonts w:hint="eastAsia" w:ascii="仿宋" w:hAnsi="仿宋" w:eastAsia="仿宋" w:cs="仿宋"/>
          <w:color w:val="000000" w:themeColor="text1"/>
          <w14:textFill>
            <w14:solidFill>
              <w14:schemeClr w14:val="tx1"/>
            </w14:solidFill>
          </w14:textFill>
        </w:rPr>
        <w:t>综合素质评价：</w:t>
      </w:r>
      <w:r>
        <w:rPr>
          <w:rFonts w:hint="eastAsia" w:ascii="仿宋_GB2312" w:hAnsi="Times New Roman" w:eastAsia="仿宋_GB2312" w:cs="Times New Roman"/>
          <w:bCs/>
        </w:rPr>
        <w:t>使用“腾讯会议”进行线上面试。</w:t>
      </w:r>
    </w:p>
    <w:p>
      <w:pPr>
        <w:widowControl/>
        <w:spacing w:line="350" w:lineRule="exact"/>
        <w:ind w:firstLine="480" w:firstLineChars="200"/>
        <w:jc w:val="left"/>
        <w:rPr>
          <w:rFonts w:ascii="仿宋_GB2312" w:hAnsi="Times New Roman" w:eastAsia="仿宋_GB2312" w:cs="Times New Roman"/>
          <w:bCs/>
          <w:kern w:val="0"/>
          <w:sz w:val="24"/>
          <w:szCs w:val="24"/>
        </w:rPr>
      </w:pPr>
      <w:r>
        <w:rPr>
          <w:rFonts w:hint="eastAsia" w:ascii="仿宋_GB2312" w:hAnsi="Times New Roman" w:eastAsia="仿宋_GB2312" w:cs="Times New Roman"/>
          <w:bCs/>
          <w:kern w:val="0"/>
          <w:sz w:val="24"/>
          <w:szCs w:val="24"/>
        </w:rPr>
        <w:t>二、查询线上面试考场及时间：</w:t>
      </w:r>
      <w:r>
        <w:rPr>
          <w:rFonts w:hint="eastAsia" w:ascii="仿宋_GB2312" w:hAnsi="Times New Roman" w:eastAsia="仿宋_GB2312" w:cs="Times New Roman"/>
          <w:b/>
          <w:bCs w:val="0"/>
          <w:kern w:val="0"/>
          <w:sz w:val="24"/>
          <w:szCs w:val="24"/>
        </w:rPr>
        <w:t>4月10日</w:t>
      </w:r>
      <w:r>
        <w:rPr>
          <w:rFonts w:hint="eastAsia" w:ascii="仿宋_GB2312" w:hAnsi="Times New Roman" w:eastAsia="仿宋_GB2312" w:cs="Times New Roman"/>
          <w:bCs/>
          <w:kern w:val="0"/>
          <w:sz w:val="24"/>
          <w:szCs w:val="24"/>
        </w:rPr>
        <w:t>通过学院招生专题网</w:t>
      </w:r>
      <w:r>
        <w:rPr>
          <w:rFonts w:ascii="仿宋_GB2312" w:hAnsi="Times New Roman" w:eastAsia="仿宋_GB2312" w:cs="Times New Roman"/>
          <w:bCs/>
          <w:kern w:val="0"/>
          <w:sz w:val="24"/>
          <w:szCs w:val="24"/>
        </w:rPr>
        <w:t>https://www.shzv.edu.cn/zs/</w:t>
      </w:r>
      <w:r>
        <w:rPr>
          <w:rFonts w:hint="eastAsia" w:ascii="仿宋_GB2312" w:hAnsi="仿宋" w:eastAsia="仿宋_GB2312" w:cs="宋体"/>
          <w:bCs/>
          <w:color w:val="000000"/>
          <w:kern w:val="0"/>
          <w:sz w:val="24"/>
          <w:szCs w:val="24"/>
        </w:rPr>
        <w:t>或微信公众号“新疆石河子职业技术学院招生”上</w:t>
      </w:r>
      <w:r>
        <w:rPr>
          <w:rFonts w:hint="eastAsia" w:ascii="仿宋_GB2312" w:hAnsi="宋体" w:eastAsia="仿宋_GB2312" w:cs="宋体"/>
          <w:bCs/>
          <w:color w:val="000000"/>
          <w:kern w:val="0"/>
          <w:sz w:val="24"/>
          <w:szCs w:val="24"/>
        </w:rPr>
        <w:t>进行查询。</w:t>
      </w:r>
    </w:p>
    <w:p>
      <w:pPr>
        <w:widowControl/>
        <w:spacing w:line="350" w:lineRule="exact"/>
        <w:ind w:firstLine="480" w:firstLineChars="200"/>
        <w:jc w:val="left"/>
        <w:rPr>
          <w:rFonts w:ascii="仿宋_GB2312" w:hAnsi="Times New Roman" w:eastAsia="仿宋_GB2312" w:cs="Times New Roman"/>
          <w:b/>
          <w:bCs/>
          <w:kern w:val="0"/>
          <w:sz w:val="24"/>
          <w:szCs w:val="24"/>
        </w:rPr>
      </w:pPr>
      <w:r>
        <w:rPr>
          <w:rFonts w:hint="eastAsia" w:ascii="仿宋_GB2312" w:hAnsi="Times New Roman" w:eastAsia="仿宋_GB2312" w:cs="Times New Roman"/>
          <w:bCs/>
          <w:kern w:val="0"/>
          <w:sz w:val="24"/>
          <w:szCs w:val="24"/>
        </w:rPr>
        <w:t>三、线上面试（综合素质评价）时间：</w:t>
      </w:r>
      <w:r>
        <w:rPr>
          <w:rFonts w:hint="eastAsia" w:ascii="仿宋_GB2312" w:hAnsi="Times New Roman" w:eastAsia="仿宋_GB2312" w:cs="Times New Roman"/>
          <w:b/>
          <w:bCs/>
          <w:kern w:val="0"/>
          <w:sz w:val="24"/>
          <w:szCs w:val="24"/>
        </w:rPr>
        <w:t>4月11日至4月12日</w:t>
      </w:r>
    </w:p>
    <w:p>
      <w:pPr>
        <w:pStyle w:val="7"/>
        <w:shd w:val="clear" w:color="auto" w:fill="FFFFFF"/>
        <w:snapToGrid w:val="0"/>
        <w:spacing w:before="0" w:beforeAutospacing="0" w:after="0" w:afterAutospacing="0" w:line="36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注：考生需提前1天在手机或电脑上下载“腾讯会议”软件，并做好调试。具体线上面试要求请考生密切关注学院官网和“新疆石河子职业技术学院招生”微信公众号。</w:t>
      </w:r>
    </w:p>
    <w:p>
      <w:pPr>
        <w:pStyle w:val="7"/>
        <w:shd w:val="clear" w:color="auto" w:fill="FFFFFF"/>
        <w:snapToGrid w:val="0"/>
        <w:spacing w:before="0" w:beforeAutospacing="0" w:after="0" w:afterAutospacing="0" w:line="360" w:lineRule="exact"/>
        <w:jc w:val="center"/>
        <w:rPr>
          <w:rFonts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第五章  命题、组卷、线上面试及评分</w:t>
      </w:r>
    </w:p>
    <w:p>
      <w:pPr>
        <w:pStyle w:val="7"/>
        <w:shd w:val="clear" w:color="auto" w:fill="FFFFFF"/>
        <w:snapToGrid w:val="0"/>
        <w:spacing w:before="0" w:beforeAutospacing="0" w:after="0" w:afterAutospacing="0" w:line="36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命题、组卷、面试及评分在自治区教育考试院、兵团招生办的指导、监督下，由学院组织实施。</w:t>
      </w:r>
    </w:p>
    <w:p>
      <w:pPr>
        <w:pStyle w:val="7"/>
        <w:shd w:val="clear" w:color="auto" w:fill="FFFFFF"/>
        <w:snapToGrid w:val="0"/>
        <w:spacing w:before="0" w:beforeAutospacing="0" w:after="0" w:afterAutospacing="0" w:line="36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学院将严格按照“阳光工程”的招生精神和要求，认真组织，积极做好单独招生命题、组卷、面试及评分工作，由纪检监督，严格保密，逐级管理，层层负责，切实做好相关工作。</w:t>
      </w:r>
    </w:p>
    <w:p>
      <w:pPr>
        <w:pStyle w:val="7"/>
        <w:shd w:val="clear" w:color="auto" w:fill="FFFFFF"/>
        <w:snapToGrid w:val="0"/>
        <w:spacing w:before="0" w:beforeAutospacing="0" w:after="0" w:afterAutospacing="0" w:line="36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一、命题：由企业专家和专业教师组成命题组，按要求内容进行封闭命题。</w:t>
      </w:r>
    </w:p>
    <w:p>
      <w:pPr>
        <w:pStyle w:val="7"/>
        <w:shd w:val="clear" w:color="auto" w:fill="FFFFFF"/>
        <w:snapToGrid w:val="0"/>
        <w:spacing w:before="0" w:beforeAutospacing="0" w:after="0" w:afterAutospacing="0" w:line="36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二、组卷：由命题组在单独招生领导小组和纪检监督组的监督下，进行全封闭式组卷。</w:t>
      </w:r>
    </w:p>
    <w:p>
      <w:pPr>
        <w:pStyle w:val="7"/>
        <w:shd w:val="clear" w:color="auto" w:fill="FFFFFF"/>
        <w:snapToGrid w:val="0"/>
        <w:spacing w:before="0" w:beforeAutospacing="0" w:after="0" w:afterAutospacing="0" w:line="36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三、线上面试：严格按照《国家教育考试违规处理办法》约束及规范考生及工作人员，严肃考风考纪，规范线上面试操作程序。</w:t>
      </w:r>
    </w:p>
    <w:p>
      <w:pPr>
        <w:pStyle w:val="7"/>
        <w:shd w:val="clear" w:color="auto" w:fill="FFFFFF"/>
        <w:snapToGrid w:val="0"/>
        <w:spacing w:before="0" w:beforeAutospacing="0" w:after="0" w:afterAutospacing="0" w:line="36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四、评分：由学院考务组根据《面试赋分标准》科学、公正、公平的进行评判。</w:t>
      </w:r>
    </w:p>
    <w:p>
      <w:pPr>
        <w:pStyle w:val="7"/>
        <w:shd w:val="clear" w:color="auto" w:fill="FFFFFF"/>
        <w:snapToGrid w:val="0"/>
        <w:spacing w:before="0" w:beforeAutospacing="0" w:after="0" w:afterAutospacing="0" w:line="360" w:lineRule="exact"/>
        <w:jc w:val="center"/>
        <w:rPr>
          <w:rFonts w:ascii="仿宋" w:hAnsi="仿宋" w:eastAsia="仿宋" w:cs="仿宋"/>
          <w:b/>
          <w:bCs/>
          <w:color w:val="000000" w:themeColor="text1"/>
          <w14:textFill>
            <w14:solidFill>
              <w14:schemeClr w14:val="tx1"/>
            </w14:solidFill>
          </w14:textFill>
        </w:rPr>
      </w:pPr>
    </w:p>
    <w:p>
      <w:pPr>
        <w:pStyle w:val="7"/>
        <w:shd w:val="clear" w:color="auto" w:fill="FFFFFF"/>
        <w:snapToGrid w:val="0"/>
        <w:spacing w:before="0" w:beforeAutospacing="0" w:after="0" w:afterAutospacing="0" w:line="360" w:lineRule="exact"/>
        <w:jc w:val="center"/>
        <w:rPr>
          <w:rFonts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第六章  考试成绩组成及分值</w:t>
      </w:r>
    </w:p>
    <w:p>
      <w:pPr>
        <w:pStyle w:val="7"/>
        <w:shd w:val="clear" w:color="auto" w:fill="FFFFFF"/>
        <w:snapToGrid w:val="0"/>
        <w:spacing w:before="0" w:beforeAutospacing="0" w:after="0" w:afterAutospacing="0" w:line="360" w:lineRule="exact"/>
        <w:ind w:firstLine="600" w:firstLineChars="25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考试成绩由文化素质成绩和综合素质评价成绩两部分组成，文化素质科目成绩总分100分，综合素质评价成绩300分，总分400分。</w:t>
      </w:r>
    </w:p>
    <w:p>
      <w:pPr>
        <w:pStyle w:val="7"/>
        <w:shd w:val="clear" w:color="auto" w:fill="FFFFFF"/>
        <w:snapToGrid w:val="0"/>
        <w:spacing w:before="0" w:beforeAutospacing="0" w:after="0" w:afterAutospacing="0" w:line="36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一、文化素质科目成绩：统一使用在校毕业考试文化课平均成绩，满分100分。</w:t>
      </w:r>
    </w:p>
    <w:p>
      <w:pPr>
        <w:pStyle w:val="7"/>
        <w:shd w:val="clear" w:color="auto" w:fill="FFFFFF"/>
        <w:snapToGrid w:val="0"/>
        <w:spacing w:before="0" w:beforeAutospacing="0" w:after="0" w:afterAutospacing="0" w:line="36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二、综合素质评价成绩，满分300分：包括四方面内容：①基本素质题，主要测试学生的思想品德、身体及心理素质、团队精神、特长等；②文化素养题，主要测试学生的人文科学素质、逻辑思维能力、语言表达能力；③职业倾向题，主要测试学生的职业认知、专业认知、职业潜质；④方法能力题，主要测试学生的分析问题、解决问题、创新思维的能力。</w:t>
      </w:r>
    </w:p>
    <w:p>
      <w:pPr>
        <w:pStyle w:val="7"/>
        <w:shd w:val="clear" w:color="auto" w:fill="FFFFFF"/>
        <w:snapToGrid w:val="0"/>
        <w:spacing w:before="0" w:beforeAutospacing="0" w:after="0" w:afterAutospacing="0" w:line="360" w:lineRule="exact"/>
        <w:jc w:val="center"/>
        <w:rPr>
          <w:rFonts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第七章  录  取</w:t>
      </w:r>
    </w:p>
    <w:p>
      <w:pPr>
        <w:spacing w:line="360" w:lineRule="exact"/>
        <w:ind w:firstLine="480" w:firstLineChars="200"/>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一、录取原则：</w:t>
      </w:r>
    </w:p>
    <w:p>
      <w:pPr>
        <w:pStyle w:val="7"/>
        <w:spacing w:before="0" w:beforeAutospacing="0" w:after="0" w:afterAutospacing="0" w:line="350" w:lineRule="exact"/>
        <w:ind w:firstLine="480" w:firstLineChars="200"/>
        <w:rPr>
          <w:rFonts w:ascii="仿宋_GB2312" w:hAnsi="仿宋" w:eastAsia="仿宋_GB2312"/>
          <w:bCs/>
          <w:color w:val="000000"/>
        </w:rPr>
      </w:pPr>
      <w:r>
        <w:rPr>
          <w:rFonts w:hint="eastAsia" w:ascii="仿宋_GB2312" w:hAnsi="仿宋" w:eastAsia="仿宋_GB2312"/>
          <w:bCs/>
          <w:color w:val="000000"/>
        </w:rPr>
        <w:t>1、在自治区教育考试院的领导下，学院根据“分数优先，遵循志愿”的原则进行录取。</w:t>
      </w:r>
    </w:p>
    <w:p>
      <w:pPr>
        <w:spacing w:line="360" w:lineRule="exact"/>
        <w:rPr>
          <w:rFonts w:ascii="仿宋_GB2312" w:eastAsia="仿宋_GB2312"/>
          <w:bCs/>
          <w:sz w:val="24"/>
        </w:rPr>
      </w:pPr>
      <w:r>
        <w:rPr>
          <w:rFonts w:hint="eastAsia" w:ascii="仿宋_GB2312" w:eastAsia="仿宋_GB2312"/>
          <w:bCs/>
          <w:sz w:val="24"/>
        </w:rPr>
        <w:t>考生录取分数不得低于180分；</w:t>
      </w:r>
    </w:p>
    <w:p>
      <w:pPr>
        <w:spacing w:line="360" w:lineRule="exact"/>
        <w:ind w:firstLine="480" w:firstLineChars="200"/>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2.线上面试成绩低于100分者，不予录取。</w:t>
      </w:r>
    </w:p>
    <w:p>
      <w:pPr>
        <w:spacing w:line="360" w:lineRule="exact"/>
        <w:ind w:firstLine="480" w:firstLineChars="200"/>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3.考生总分相同时，优先录取线上面试成绩高者。</w:t>
      </w:r>
    </w:p>
    <w:p>
      <w:pPr>
        <w:autoSpaceDE w:val="0"/>
        <w:autoSpaceDN w:val="0"/>
        <w:adjustRightInd w:val="0"/>
        <w:snapToGrid w:val="0"/>
        <w:spacing w:line="360" w:lineRule="exact"/>
        <w:ind w:firstLine="480" w:firstLineChars="200"/>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二、优惠政策：对于获得自治区和兵团教育行政部门认可的职业技能大赛其他自治区级奖项的学生，在达到基本录取条件的情况下可优先录取。对于在校期间获得全国职业院校技能大赛一、二、三等奖或自治区职业院校技能大赛的一、二等奖获得者，可免试入学。</w:t>
      </w:r>
    </w:p>
    <w:p>
      <w:pPr>
        <w:autoSpaceDE w:val="0"/>
        <w:autoSpaceDN w:val="0"/>
        <w:adjustRightInd w:val="0"/>
        <w:snapToGrid w:val="0"/>
        <w:spacing w:line="360" w:lineRule="exact"/>
        <w:ind w:firstLine="480" w:firstLineChars="200"/>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三、在同等条件下，学院优先录取申请就读专业与获奖项目（或中职就读专业）相对应或相近的学生。</w:t>
      </w:r>
    </w:p>
    <w:p>
      <w:pPr>
        <w:autoSpaceDE w:val="0"/>
        <w:autoSpaceDN w:val="0"/>
        <w:adjustRightInd w:val="0"/>
        <w:snapToGrid w:val="0"/>
        <w:spacing w:line="360" w:lineRule="exact"/>
        <w:ind w:firstLine="480" w:firstLineChars="200"/>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四、公示拟录取名单：</w:t>
      </w:r>
      <w:r>
        <w:rPr>
          <w:rFonts w:hint="eastAsia" w:ascii="仿宋" w:hAnsi="仿宋" w:eastAsia="仿宋" w:cs="仿宋"/>
          <w:color w:val="000000" w:themeColor="text1"/>
          <w:kern w:val="0"/>
          <w:sz w:val="24"/>
          <w:szCs w:val="24"/>
          <w:highlight w:val="none"/>
          <w14:textFill>
            <w14:solidFill>
              <w14:schemeClr w14:val="tx1"/>
            </w14:solidFill>
          </w14:textFill>
        </w:rPr>
        <w:t>4月16日-21日</w:t>
      </w:r>
      <w:r>
        <w:rPr>
          <w:rFonts w:hint="eastAsia" w:ascii="仿宋" w:hAnsi="仿宋" w:eastAsia="仿宋" w:cs="仿宋"/>
          <w:color w:val="000000" w:themeColor="text1"/>
          <w:kern w:val="0"/>
          <w:sz w:val="24"/>
          <w:szCs w:val="24"/>
          <w14:textFill>
            <w14:solidFill>
              <w14:schemeClr w14:val="tx1"/>
            </w14:solidFill>
          </w14:textFill>
        </w:rPr>
        <w:t>在学院官网上公示直升专录取考生名单，公示期满无异议后，将录取名单上传“新疆高职单独招生考试服务平台”。</w:t>
      </w:r>
    </w:p>
    <w:p>
      <w:pPr>
        <w:spacing w:line="360" w:lineRule="exact"/>
        <w:ind w:firstLine="480" w:firstLineChars="200"/>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五、</w:t>
      </w:r>
      <w:r>
        <w:rPr>
          <w:rFonts w:hint="eastAsia" w:ascii="仿宋_GB2312" w:hAnsi="仿宋" w:eastAsia="仿宋_GB2312"/>
          <w:bCs/>
          <w:color w:val="000000"/>
          <w:sz w:val="24"/>
        </w:rPr>
        <w:t>相关事项：</w:t>
      </w:r>
      <w:r>
        <w:rPr>
          <w:rFonts w:hint="eastAsia" w:ascii="仿宋_GB2312" w:eastAsia="仿宋_GB2312"/>
          <w:bCs/>
          <w:sz w:val="24"/>
        </w:rPr>
        <w:t>2022年直升专确认录取的考生，不再参加2022年三校高职考试和其他院校任何形式的录取。招生院校确认录取考生各项信息无误后办理相关录取手续。未被录取的考生，仍可参加三校高职考试。</w:t>
      </w:r>
      <w:r>
        <w:rPr>
          <w:rFonts w:hint="eastAsia" w:ascii="仿宋_GB2312" w:eastAsia="仿宋_GB2312"/>
          <w:b/>
          <w:sz w:val="24"/>
        </w:rPr>
        <w:t>报考直升专的考生统一参加普通高考体检，凡不符合要求的按有关规定处理。</w:t>
      </w:r>
    </w:p>
    <w:p>
      <w:pPr>
        <w:pStyle w:val="7"/>
        <w:spacing w:before="0" w:beforeAutospacing="0" w:after="0" w:afterAutospacing="0" w:line="360" w:lineRule="exact"/>
        <w:ind w:firstLine="482" w:firstLineChars="200"/>
        <w:jc w:val="center"/>
        <w:rPr>
          <w:rStyle w:val="10"/>
          <w:rFonts w:ascii="仿宋_GB2312" w:hAnsi="仿宋" w:eastAsia="仿宋_GB2312"/>
          <w:bCs w:val="0"/>
          <w:color w:val="000000"/>
        </w:rPr>
      </w:pPr>
      <w:r>
        <w:rPr>
          <w:rStyle w:val="10"/>
          <w:rFonts w:hint="eastAsia" w:ascii="仿宋_GB2312" w:hAnsi="仿宋" w:eastAsia="仿宋_GB2312"/>
          <w:bCs w:val="0"/>
          <w:color w:val="000000"/>
        </w:rPr>
        <w:t>第八章  新生入学与复查</w:t>
      </w:r>
    </w:p>
    <w:p>
      <w:pPr>
        <w:pStyle w:val="7"/>
        <w:adjustRightInd w:val="0"/>
        <w:snapToGrid w:val="0"/>
        <w:spacing w:before="0" w:beforeAutospacing="0" w:after="0" w:afterAutospacing="0" w:line="360" w:lineRule="exact"/>
        <w:ind w:left="420" w:leftChars="200"/>
        <w:rPr>
          <w:rFonts w:ascii="仿宋_GB2312" w:eastAsia="仿宋_GB2312" w:cs="仿宋"/>
        </w:rPr>
      </w:pPr>
      <w:r>
        <w:rPr>
          <w:rFonts w:hint="eastAsia" w:ascii="仿宋_GB2312" w:eastAsia="仿宋_GB2312" w:cs="仿宋"/>
        </w:rPr>
        <w:t>一、录取考生入学后，学院在三个月内按照规定进行政治、文化、思想品德、身体状况</w:t>
      </w:r>
    </w:p>
    <w:p>
      <w:pPr>
        <w:pStyle w:val="7"/>
        <w:adjustRightInd w:val="0"/>
        <w:snapToGrid w:val="0"/>
        <w:spacing w:before="0" w:beforeAutospacing="0" w:after="0" w:afterAutospacing="0" w:line="360" w:lineRule="exact"/>
        <w:rPr>
          <w:rFonts w:ascii="仿宋_GB2312" w:eastAsia="仿宋_GB2312" w:cs="微软雅黑"/>
        </w:rPr>
      </w:pPr>
      <w:r>
        <w:rPr>
          <w:rFonts w:hint="eastAsia" w:ascii="仿宋_GB2312" w:eastAsia="仿宋_GB2312" w:cs="仿宋"/>
        </w:rPr>
        <w:t>和资格等方面的复查，复查不合格者，学院将报上级主管部门批准，取消其入学资格。</w:t>
      </w:r>
    </w:p>
    <w:p>
      <w:pPr>
        <w:pStyle w:val="7"/>
        <w:adjustRightInd w:val="0"/>
        <w:snapToGrid w:val="0"/>
        <w:spacing w:before="0" w:beforeAutospacing="0" w:after="0" w:afterAutospacing="0" w:line="360" w:lineRule="exact"/>
        <w:ind w:firstLine="480" w:firstLineChars="200"/>
        <w:rPr>
          <w:rFonts w:ascii="仿宋_GB2312" w:eastAsia="仿宋_GB2312" w:cs="微软雅黑"/>
        </w:rPr>
      </w:pPr>
      <w:r>
        <w:rPr>
          <w:rFonts w:hint="eastAsia" w:ascii="仿宋_GB2312" w:eastAsia="仿宋_GB2312" w:cs="仿宋"/>
        </w:rPr>
        <w:t>二、对在报名和考试过程中有弄虚作假或其他违纪违规行为的考生，将取消其入学资格。</w:t>
      </w:r>
    </w:p>
    <w:p>
      <w:pPr>
        <w:pStyle w:val="7"/>
        <w:spacing w:before="0" w:beforeAutospacing="0" w:after="0" w:afterAutospacing="0" w:line="360" w:lineRule="exact"/>
        <w:ind w:firstLine="480" w:firstLineChars="200"/>
        <w:rPr>
          <w:rFonts w:ascii="仿宋_GB2312" w:hAnsi="仿宋" w:eastAsia="仿宋_GB2312"/>
          <w:bCs/>
          <w:color w:val="000000"/>
        </w:rPr>
      </w:pPr>
      <w:r>
        <w:rPr>
          <w:rFonts w:hint="eastAsia" w:ascii="仿宋_GB2312" w:hAnsi="仿宋" w:eastAsia="仿宋_GB2312"/>
          <w:bCs/>
          <w:color w:val="000000"/>
        </w:rPr>
        <w:t>三、在新生复查中发现的其他问题，按《普通高等学校学生管理规定》（中华人民共和国教育部令第21号）、《新疆石河子职业技术学院学生学籍管理规定》处理。</w:t>
      </w:r>
    </w:p>
    <w:p>
      <w:pPr>
        <w:widowControl/>
        <w:shd w:val="clear" w:color="auto" w:fill="FFFFFF"/>
        <w:snapToGrid w:val="0"/>
        <w:spacing w:line="360" w:lineRule="exact"/>
        <w:jc w:val="center"/>
        <w:rPr>
          <w:rFonts w:ascii="仿宋" w:hAnsi="仿宋" w:eastAsia="仿宋" w:cs="仿宋"/>
          <w:b/>
          <w:color w:val="000000" w:themeColor="text1"/>
          <w:kern w:val="0"/>
          <w:sz w:val="24"/>
          <w:szCs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第九章  奖励及资助办法</w:t>
      </w:r>
    </w:p>
    <w:p>
      <w:pPr>
        <w:widowControl/>
        <w:shd w:val="clear" w:color="auto" w:fill="FFFFFF"/>
        <w:snapToGrid w:val="0"/>
        <w:spacing w:line="360" w:lineRule="exact"/>
        <w:ind w:left="105" w:firstLine="480"/>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学院为帮助贫困学生顺利完成学业，激励学生努力学习、对品学兼优、创新创业及家庭困难的学生进行奖励和资助，分别为“国家奖学金”8000元/年；“国家励志奖学金”5000元/年；国家助学金分三等（4000元/年、3300元/年、2600元/年）；学院奖学金5000元/年；优秀学生和优秀学生干部奖学金分为三等（3000元/年、2000元/年、1000元/年）；困难助学金1000元/年）；同时，家庭经济困难的学生还可依照有关规定申请办理生源地贷款、国家助学贷款。</w:t>
      </w:r>
    </w:p>
    <w:p>
      <w:pPr>
        <w:pStyle w:val="7"/>
        <w:shd w:val="clear" w:color="auto" w:fill="FFFFFF"/>
        <w:snapToGrid w:val="0"/>
        <w:spacing w:before="0" w:beforeAutospacing="0" w:after="0" w:afterAutospacing="0" w:line="360" w:lineRule="exact"/>
        <w:jc w:val="center"/>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第十章  毕业生学历及升学</w:t>
      </w:r>
    </w:p>
    <w:p>
      <w:pPr>
        <w:widowControl/>
        <w:shd w:val="clear" w:color="auto" w:fill="FFFFFF"/>
        <w:spacing w:line="360" w:lineRule="exact"/>
        <w:ind w:firstLine="480"/>
        <w:jc w:val="left"/>
        <w:rPr>
          <w:rFonts w:ascii="仿宋_GB2312" w:hAnsi="仿宋" w:eastAsia="仿宋_GB2312" w:cs="宋体"/>
          <w:bCs/>
          <w:color w:val="000000"/>
          <w:kern w:val="0"/>
          <w:sz w:val="24"/>
        </w:rPr>
      </w:pPr>
      <w:r>
        <w:rPr>
          <w:rFonts w:hint="eastAsia" w:ascii="仿宋_GB2312" w:hAnsi="仿宋" w:eastAsia="仿宋_GB2312" w:cs="宋体"/>
          <w:bCs/>
          <w:color w:val="000000"/>
          <w:kern w:val="0"/>
          <w:sz w:val="24"/>
        </w:rPr>
        <w:t>学生学习期满，成绩合格，颁发教育部电子注册的新疆石河子职业技术学院普通高等教育毕业证书及相关职业资格证书。</w:t>
      </w:r>
    </w:p>
    <w:p>
      <w:pPr>
        <w:widowControl/>
        <w:shd w:val="clear" w:color="auto" w:fill="FFFFFF"/>
        <w:spacing w:line="360" w:lineRule="exact"/>
        <w:ind w:firstLine="480"/>
        <w:jc w:val="left"/>
        <w:rPr>
          <w:rFonts w:ascii="仿宋_GB2312" w:hAnsi="仿宋" w:eastAsia="仿宋_GB2312" w:cs="宋体"/>
          <w:bCs/>
          <w:color w:val="000000"/>
          <w:kern w:val="0"/>
          <w:sz w:val="24"/>
        </w:rPr>
      </w:pPr>
      <w:r>
        <w:rPr>
          <w:rFonts w:hint="eastAsia" w:ascii="仿宋_GB2312" w:hAnsi="微软雅黑" w:eastAsia="仿宋_GB2312"/>
          <w:color w:val="000000"/>
          <w:sz w:val="24"/>
        </w:rPr>
        <w:t>我院专科生毕业时，可依</w:t>
      </w:r>
      <w:r>
        <w:rPr>
          <w:rFonts w:hint="eastAsia" w:ascii="仿宋_GB2312" w:hAnsi="仿宋" w:eastAsia="仿宋_GB2312" w:cs="宋体"/>
          <w:bCs/>
          <w:color w:val="000000"/>
          <w:kern w:val="0"/>
          <w:sz w:val="24"/>
        </w:rPr>
        <w:t>据自治区教育厅《关于做好自治区普通高等教育专升本报名考试工作的通知</w:t>
      </w:r>
      <w:r>
        <w:rPr>
          <w:rFonts w:hint="eastAsia" w:ascii="仿宋_GB2312" w:hAnsi="微软雅黑" w:eastAsia="仿宋_GB2312"/>
          <w:color w:val="000000"/>
          <w:sz w:val="24"/>
        </w:rPr>
        <w:t>》要求，参加专升本考试，被录取考生进入本科院校学习，学制二年，毕业时获取本科毕业证及学士学位。</w:t>
      </w:r>
    </w:p>
    <w:p>
      <w:pPr>
        <w:pStyle w:val="7"/>
        <w:shd w:val="clear" w:color="auto" w:fill="FFFFFF"/>
        <w:snapToGrid w:val="0"/>
        <w:spacing w:before="0" w:beforeAutospacing="0" w:after="0" w:afterAutospacing="0" w:line="360" w:lineRule="exact"/>
        <w:ind w:firstLine="482" w:firstLineChars="20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第十一章   附  则</w:t>
      </w:r>
    </w:p>
    <w:p>
      <w:pPr>
        <w:pStyle w:val="7"/>
        <w:shd w:val="clear" w:color="auto" w:fill="FFFFFF"/>
        <w:snapToGrid w:val="0"/>
        <w:spacing w:before="0" w:beforeAutospacing="0" w:after="0" w:afterAutospacing="0" w:line="360" w:lineRule="exact"/>
        <w:ind w:firstLine="480" w:firstLineChars="200"/>
        <w:jc w:val="both"/>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highlight w:val="yellow"/>
          <w14:textFill>
            <w14:solidFill>
              <w14:schemeClr w14:val="tx1"/>
            </w14:solidFill>
          </w14:textFill>
        </w:rPr>
        <w:t>一、根据《关于做好2022年优秀中职毕业生直升高职（专科）招生工作的通知》，直升专学生不得申请转学、调整专业。</w:t>
      </w:r>
    </w:p>
    <w:p>
      <w:pPr>
        <w:pStyle w:val="7"/>
        <w:shd w:val="clear" w:color="auto" w:fill="FFFFFF"/>
        <w:snapToGrid w:val="0"/>
        <w:spacing w:before="0" w:beforeAutospacing="0" w:after="0" w:afterAutospacing="0" w:line="360" w:lineRule="exact"/>
        <w:ind w:firstLine="480" w:firstLineChars="200"/>
        <w:jc w:val="both"/>
        <w:rPr>
          <w:rFonts w:ascii="仿宋_GB2312" w:eastAsia="仿宋_GB2312"/>
          <w:bCs/>
          <w:shd w:val="clear" w:color="auto" w:fill="FFFFFF"/>
        </w:rPr>
      </w:pPr>
      <w:r>
        <w:rPr>
          <w:rFonts w:hint="eastAsia" w:ascii="仿宋" w:hAnsi="仿宋" w:eastAsia="仿宋" w:cs="仿宋"/>
          <w:color w:val="000000" w:themeColor="text1"/>
          <w14:textFill>
            <w14:solidFill>
              <w14:schemeClr w14:val="tx1"/>
            </w14:solidFill>
          </w14:textFill>
        </w:rPr>
        <w:t>二、</w:t>
      </w:r>
      <w:r>
        <w:rPr>
          <w:rFonts w:hint="eastAsia" w:ascii="仿宋_GB2312" w:eastAsia="仿宋_GB2312" w:cs="仿宋"/>
          <w:bCs/>
        </w:rPr>
        <w:t>学院未委托和授权任何中介机构和个人代办单独招生考试招生工作，考生切勿上当受骗，</w:t>
      </w:r>
      <w:r>
        <w:rPr>
          <w:rFonts w:hint="eastAsia" w:ascii="仿宋_GB2312" w:eastAsia="仿宋_GB2312"/>
          <w:bCs/>
          <w:shd w:val="clear" w:color="auto" w:fill="FFFFFF"/>
        </w:rPr>
        <w:t>任何承诺与我院无关。</w:t>
      </w:r>
    </w:p>
    <w:p>
      <w:pPr>
        <w:pStyle w:val="7"/>
        <w:shd w:val="clear" w:color="auto" w:fill="FFFFFF"/>
        <w:snapToGrid w:val="0"/>
        <w:spacing w:before="0" w:beforeAutospacing="0" w:after="0" w:afterAutospacing="0" w:line="360" w:lineRule="exact"/>
        <w:ind w:firstLine="480" w:firstLineChars="200"/>
        <w:jc w:val="both"/>
        <w:rPr>
          <w:rFonts w:ascii="仿宋_GB2312" w:eastAsia="仿宋_GB2312"/>
          <w:bCs/>
          <w:shd w:val="clear" w:color="auto" w:fill="FFFFFF"/>
        </w:rPr>
      </w:pPr>
      <w:r>
        <w:rPr>
          <w:rFonts w:hint="eastAsia" w:ascii="仿宋_GB2312" w:eastAsia="仿宋_GB2312"/>
          <w:bCs/>
          <w:shd w:val="clear" w:color="auto" w:fill="FFFFFF"/>
        </w:rPr>
        <w:t>三、</w:t>
      </w:r>
      <w:r>
        <w:rPr>
          <w:rFonts w:hint="eastAsia" w:ascii="仿宋_GB2312" w:eastAsia="仿宋_GB2312" w:cs="仿宋"/>
          <w:bCs/>
        </w:rPr>
        <w:t>学院有关2022年直升专招生信息都将通过学院官方网站、 微信公众平台“新疆石河子职业技术学院招生”、“新疆招生网”进行发布，不再另行通知。</w:t>
      </w:r>
    </w:p>
    <w:p>
      <w:pPr>
        <w:pStyle w:val="7"/>
        <w:spacing w:before="0" w:beforeAutospacing="0" w:after="0" w:afterAutospacing="0" w:line="350" w:lineRule="exact"/>
        <w:jc w:val="center"/>
        <w:rPr>
          <w:rFonts w:ascii="仿宋_GB2312" w:hAnsi="仿宋" w:eastAsia="仿宋_GB2312"/>
          <w:bCs/>
          <w:color w:val="000000"/>
        </w:rPr>
      </w:pPr>
      <w:r>
        <w:rPr>
          <w:rStyle w:val="10"/>
          <w:rFonts w:hint="eastAsia" w:ascii="仿宋_GB2312" w:hAnsi="仿宋" w:eastAsia="仿宋_GB2312"/>
          <w:color w:val="000000"/>
        </w:rPr>
        <w:t>第十二章 联系方式</w:t>
      </w:r>
    </w:p>
    <w:p>
      <w:pPr>
        <w:ind w:firstLine="480" w:firstLineChars="200"/>
        <w:rPr>
          <w:rFonts w:ascii="仿宋_GB2312" w:hAnsi="仿宋" w:eastAsia="仿宋_GB2312" w:cs="宋体"/>
          <w:bCs/>
          <w:color w:val="000000"/>
          <w:kern w:val="0"/>
          <w:sz w:val="24"/>
        </w:rPr>
      </w:pPr>
      <w:r>
        <w:rPr>
          <w:rFonts w:hint="eastAsia" w:ascii="仿宋_GB2312" w:hAnsi="仿宋" w:eastAsia="仿宋_GB2312" w:cs="宋体"/>
          <w:bCs/>
          <w:color w:val="000000"/>
          <w:kern w:val="0"/>
          <w:sz w:val="24"/>
        </w:rPr>
        <w:t>招生咨询电话：0993－2059596</w:t>
      </w:r>
      <w:r>
        <w:rPr>
          <w:rFonts w:hint="eastAsia" w:ascii="仿宋_GB2312" w:hAnsi="宋体" w:eastAsia="仿宋_GB2312" w:cs="宋体"/>
          <w:bCs/>
          <w:color w:val="000000"/>
          <w:kern w:val="0"/>
          <w:sz w:val="24"/>
        </w:rPr>
        <w:t> </w:t>
      </w:r>
      <w:r>
        <w:rPr>
          <w:rFonts w:hint="eastAsia" w:ascii="仿宋_GB2312" w:hAnsi="仿宋" w:eastAsia="仿宋_GB2312" w:cs="宋体"/>
          <w:bCs/>
          <w:color w:val="000000"/>
          <w:kern w:val="0"/>
          <w:sz w:val="24"/>
        </w:rPr>
        <w:t>2059569</w:t>
      </w:r>
      <w:r>
        <w:rPr>
          <w:rFonts w:hint="eastAsia" w:ascii="仿宋_GB2312" w:hAnsi="宋体" w:eastAsia="仿宋_GB2312" w:cs="宋体"/>
          <w:bCs/>
          <w:color w:val="000000"/>
          <w:kern w:val="0"/>
          <w:sz w:val="24"/>
        </w:rPr>
        <w:t> </w:t>
      </w:r>
      <w:r>
        <w:rPr>
          <w:rFonts w:hint="eastAsia" w:ascii="仿宋_GB2312" w:hAnsi="仿宋" w:eastAsia="仿宋_GB2312" w:cs="宋体"/>
          <w:bCs/>
          <w:color w:val="000000"/>
          <w:kern w:val="0"/>
          <w:sz w:val="24"/>
        </w:rPr>
        <w:t xml:space="preserve"> 传真：0993－2059596</w:t>
      </w:r>
    </w:p>
    <w:p>
      <w:pPr>
        <w:ind w:firstLine="480" w:firstLineChars="200"/>
        <w:rPr>
          <w:rFonts w:ascii="仿宋_GB2312" w:hAnsi="仿宋" w:eastAsia="仿宋_GB2312" w:cs="宋体"/>
          <w:bCs/>
          <w:color w:val="000000"/>
          <w:kern w:val="0"/>
          <w:sz w:val="24"/>
        </w:rPr>
      </w:pPr>
      <w:r>
        <w:rPr>
          <w:rFonts w:hint="eastAsia" w:ascii="仿宋_GB2312" w:hAnsi="仿宋" w:eastAsia="仿宋_GB2312" w:cs="宋体"/>
          <w:bCs/>
          <w:color w:val="000000"/>
          <w:kern w:val="0"/>
          <w:sz w:val="24"/>
        </w:rPr>
        <w:t>微信公众号：新疆石河子职业技术学院招生</w:t>
      </w:r>
    </w:p>
    <w:p>
      <w:pPr>
        <w:widowControl/>
        <w:shd w:val="clear" w:color="auto" w:fill="FFFFFF"/>
        <w:spacing w:line="350" w:lineRule="exact"/>
        <w:ind w:firstLine="480" w:firstLineChars="200"/>
        <w:jc w:val="left"/>
        <w:rPr>
          <w:rFonts w:ascii="仿宋_GB2312" w:hAnsi="仿宋" w:eastAsia="仿宋_GB2312" w:cs="宋体"/>
          <w:bCs/>
          <w:color w:val="000000"/>
          <w:kern w:val="0"/>
          <w:sz w:val="24"/>
        </w:rPr>
      </w:pPr>
      <w:r>
        <w:rPr>
          <w:rFonts w:hint="eastAsia" w:ascii="仿宋_GB2312" w:hAnsi="仿宋" w:eastAsia="仿宋_GB2312" w:cs="宋体"/>
          <w:bCs/>
          <w:color w:val="000000"/>
          <w:kern w:val="0"/>
          <w:sz w:val="24"/>
        </w:rPr>
        <w:t>单招QQ群：</w:t>
      </w:r>
      <w:r>
        <w:rPr>
          <w:rFonts w:ascii="仿宋_GB2312" w:hAnsi="仿宋" w:eastAsia="仿宋_GB2312" w:cs="宋体"/>
          <w:bCs/>
          <w:color w:val="000000"/>
          <w:kern w:val="0"/>
          <w:sz w:val="24"/>
        </w:rPr>
        <w:t>885757781</w:t>
      </w:r>
      <w:r>
        <w:rPr>
          <w:rFonts w:hint="eastAsia" w:ascii="仿宋_GB2312" w:hAnsi="仿宋" w:eastAsia="仿宋_GB2312" w:cs="宋体"/>
          <w:bCs/>
          <w:color w:val="000000"/>
          <w:kern w:val="0"/>
          <w:sz w:val="24"/>
        </w:rPr>
        <w:t>（石职院2</w:t>
      </w:r>
      <w:r>
        <w:rPr>
          <w:rFonts w:ascii="仿宋_GB2312" w:hAnsi="仿宋" w:eastAsia="仿宋_GB2312" w:cs="宋体"/>
          <w:bCs/>
          <w:color w:val="000000"/>
          <w:kern w:val="0"/>
          <w:sz w:val="24"/>
        </w:rPr>
        <w:t>02</w:t>
      </w:r>
      <w:r>
        <w:rPr>
          <w:rFonts w:hint="eastAsia" w:ascii="仿宋_GB2312" w:hAnsi="仿宋" w:eastAsia="仿宋_GB2312" w:cs="宋体"/>
          <w:bCs/>
          <w:color w:val="000000"/>
          <w:kern w:val="0"/>
          <w:sz w:val="24"/>
        </w:rPr>
        <w:t>2年单招群）</w:t>
      </w:r>
    </w:p>
    <w:p>
      <w:pPr>
        <w:widowControl/>
        <w:shd w:val="clear" w:color="auto" w:fill="FFFFFF"/>
        <w:spacing w:line="350" w:lineRule="exact"/>
        <w:ind w:firstLine="360" w:firstLineChars="150"/>
        <w:jc w:val="left"/>
        <w:rPr>
          <w:rFonts w:ascii="仿宋_GB2312" w:hAnsi="仿宋" w:eastAsia="仿宋_GB2312" w:cs="宋体"/>
          <w:bCs/>
          <w:color w:val="000000"/>
          <w:kern w:val="0"/>
          <w:sz w:val="24"/>
        </w:rPr>
      </w:pPr>
      <w:r>
        <w:rPr>
          <w:rFonts w:hint="eastAsia" w:ascii="仿宋_GB2312" w:hAnsi="仿宋" w:eastAsia="仿宋_GB2312" w:cs="宋体"/>
          <w:bCs/>
          <w:color w:val="000000"/>
          <w:kern w:val="0"/>
          <w:sz w:val="24"/>
        </w:rPr>
        <w:t>网</w:t>
      </w:r>
      <w:r>
        <w:rPr>
          <w:rFonts w:hint="eastAsia" w:ascii="仿宋_GB2312" w:hAnsi="宋体" w:eastAsia="仿宋_GB2312" w:cs="宋体"/>
          <w:bCs/>
          <w:color w:val="000000"/>
          <w:kern w:val="0"/>
          <w:sz w:val="24"/>
        </w:rPr>
        <w:t>   </w:t>
      </w:r>
      <w:r>
        <w:rPr>
          <w:rFonts w:hint="eastAsia" w:ascii="仿宋_GB2312" w:hAnsi="仿宋" w:eastAsia="仿宋_GB2312" w:cs="宋体"/>
          <w:bCs/>
          <w:color w:val="000000"/>
          <w:kern w:val="0"/>
          <w:sz w:val="24"/>
        </w:rPr>
        <w:t xml:space="preserve"> 址：</w:t>
      </w:r>
      <w:bookmarkStart w:id="0" w:name="_Hlk68213795"/>
      <w:r>
        <w:rPr>
          <w:rFonts w:hint="eastAsia" w:ascii="仿宋_GB2312" w:hAnsi="仿宋" w:eastAsia="仿宋_GB2312" w:cs="宋体"/>
          <w:bCs/>
          <w:color w:val="000000"/>
          <w:kern w:val="0"/>
          <w:sz w:val="24"/>
        </w:rPr>
        <w:t>http://</w:t>
      </w:r>
      <w:r>
        <w:fldChar w:fldCharType="begin"/>
      </w:r>
      <w:r>
        <w:instrText xml:space="preserve"> HYPERLINK "http://www.shzv.edu./" </w:instrText>
      </w:r>
      <w:r>
        <w:fldChar w:fldCharType="separate"/>
      </w:r>
      <w:r>
        <w:rPr>
          <w:rFonts w:hint="eastAsia" w:ascii="仿宋_GB2312" w:hAnsi="仿宋" w:eastAsia="仿宋_GB2312" w:cs="宋体"/>
          <w:bCs/>
          <w:color w:val="000000"/>
          <w:kern w:val="0"/>
          <w:sz w:val="24"/>
        </w:rPr>
        <w:t>www.shzv.edu.</w:t>
      </w:r>
      <w:r>
        <w:rPr>
          <w:rFonts w:hint="eastAsia" w:ascii="仿宋_GB2312" w:hAnsi="仿宋" w:eastAsia="仿宋_GB2312" w:cs="宋体"/>
          <w:bCs/>
          <w:color w:val="000000"/>
          <w:kern w:val="0"/>
          <w:sz w:val="24"/>
        </w:rPr>
        <w:fldChar w:fldCharType="end"/>
      </w:r>
      <w:r>
        <w:rPr>
          <w:rFonts w:hint="eastAsia" w:ascii="仿宋_GB2312" w:hAnsi="仿宋" w:eastAsia="仿宋_GB2312" w:cs="宋体"/>
          <w:bCs/>
          <w:color w:val="000000"/>
          <w:kern w:val="0"/>
          <w:sz w:val="24"/>
        </w:rPr>
        <w:t>cn</w:t>
      </w:r>
      <w:r>
        <w:rPr>
          <w:rFonts w:hint="eastAsia" w:ascii="仿宋_GB2312" w:hAnsi="宋体" w:eastAsia="仿宋_GB2312" w:cs="宋体"/>
          <w:bCs/>
          <w:color w:val="000000"/>
          <w:kern w:val="0"/>
          <w:sz w:val="24"/>
        </w:rPr>
        <w:t>  </w:t>
      </w:r>
      <w:bookmarkEnd w:id="0"/>
      <w:r>
        <w:rPr>
          <w:rFonts w:hint="eastAsia" w:ascii="仿宋_GB2312" w:hAnsi="宋体" w:eastAsia="仿宋_GB2312" w:cs="宋体"/>
          <w:bCs/>
          <w:color w:val="000000"/>
          <w:kern w:val="0"/>
          <w:sz w:val="24"/>
        </w:rPr>
        <w:t>  </w:t>
      </w:r>
    </w:p>
    <w:p>
      <w:pPr>
        <w:widowControl/>
        <w:shd w:val="clear" w:color="auto" w:fill="FFFFFF"/>
        <w:spacing w:line="350" w:lineRule="exact"/>
        <w:ind w:firstLine="420" w:firstLineChars="200"/>
        <w:jc w:val="left"/>
        <w:rPr>
          <w:rFonts w:ascii="仿宋_GB2312" w:hAnsi="仿宋" w:eastAsia="仿宋_GB2312" w:cs="宋体"/>
          <w:bCs/>
          <w:color w:val="000000"/>
          <w:kern w:val="0"/>
          <w:sz w:val="24"/>
        </w:rPr>
      </w:pPr>
      <w:r>
        <w:rPr>
          <w:rFonts w:hint="eastAsia" w:ascii="方正仿宋简体" w:eastAsia="方正仿宋简体"/>
          <w:i/>
        </w:rPr>
        <w:drawing>
          <wp:anchor distT="0" distB="0" distL="114300" distR="114300" simplePos="0" relativeHeight="251659264" behindDoc="1" locked="0" layoutInCell="1" allowOverlap="1">
            <wp:simplePos x="0" y="0"/>
            <wp:positionH relativeFrom="column">
              <wp:posOffset>2863215</wp:posOffset>
            </wp:positionH>
            <wp:positionV relativeFrom="paragraph">
              <wp:posOffset>391795</wp:posOffset>
            </wp:positionV>
            <wp:extent cx="1033145" cy="1208405"/>
            <wp:effectExtent l="0" t="0" r="0" b="0"/>
            <wp:wrapSquare wrapText="bothSides"/>
            <wp:docPr id="2" name="图片 2" descr="说明: C:\Users\Administrator\AppData\Roaming\Tencent\Users\115151782\QQ\WinTemp\RichOle\82O8FK(9IW1%WPT@XNEZ}$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Administrator\AppData\Roaming\Tencent\Users\115151782\QQ\WinTemp\RichOle\82O8FK(9IW1%WPT@XNEZ}$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033145" cy="1208405"/>
                    </a:xfrm>
                    <a:prstGeom prst="rect">
                      <a:avLst/>
                    </a:prstGeom>
                    <a:noFill/>
                    <a:ln>
                      <a:noFill/>
                    </a:ln>
                  </pic:spPr>
                </pic:pic>
              </a:graphicData>
            </a:graphic>
          </wp:anchor>
        </w:drawing>
      </w:r>
      <w:r>
        <w:rPr>
          <w:rFonts w:ascii="宋体" w:hAnsi="宋体" w:eastAsia="宋体" w:cs="宋体"/>
          <w:kern w:val="0"/>
          <w:sz w:val="24"/>
          <w:szCs w:val="24"/>
        </w:rPr>
        <w:drawing>
          <wp:anchor distT="0" distB="0" distL="114300" distR="114300" simplePos="0" relativeHeight="251660288" behindDoc="1" locked="0" layoutInCell="1" allowOverlap="1">
            <wp:simplePos x="0" y="0"/>
            <wp:positionH relativeFrom="column">
              <wp:posOffset>1101090</wp:posOffset>
            </wp:positionH>
            <wp:positionV relativeFrom="paragraph">
              <wp:posOffset>287020</wp:posOffset>
            </wp:positionV>
            <wp:extent cx="1176020" cy="1416685"/>
            <wp:effectExtent l="0" t="0" r="5080" b="0"/>
            <wp:wrapTight wrapText="bothSides">
              <wp:wrapPolygon>
                <wp:start x="0" y="0"/>
                <wp:lineTo x="0" y="21203"/>
                <wp:lineTo x="21343" y="21203"/>
                <wp:lineTo x="21343" y="0"/>
                <wp:lineTo x="0" y="0"/>
              </wp:wrapPolygon>
            </wp:wrapTight>
            <wp:docPr id="3" name="图片 3" descr="C:\Users\Administrator\AppData\Roaming\Tencent\Users\115151782\QQ\WinTemp\RichOle\V{42EI_@O[BO`O[~WBI~24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AppData\Roaming\Tencent\Users\115151782\QQ\WinTemp\RichOle\V{42EI_@O[BO`O[~WBI~24P.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176020" cy="1416685"/>
                    </a:xfrm>
                    <a:prstGeom prst="rect">
                      <a:avLst/>
                    </a:prstGeom>
                    <a:noFill/>
                    <a:ln>
                      <a:noFill/>
                    </a:ln>
                  </pic:spPr>
                </pic:pic>
              </a:graphicData>
            </a:graphic>
          </wp:anchor>
        </w:drawing>
      </w:r>
      <w:r>
        <w:rPr>
          <w:rFonts w:hint="eastAsia" w:ascii="仿宋_GB2312" w:hAnsi="仿宋" w:eastAsia="仿宋_GB2312" w:cs="宋体"/>
          <w:bCs/>
          <w:color w:val="000000"/>
          <w:kern w:val="0"/>
          <w:sz w:val="24"/>
        </w:rPr>
        <w:t>联系地址：新疆石河子市</w:t>
      </w:r>
      <w:r>
        <w:rPr>
          <w:rFonts w:hint="eastAsia" w:ascii="仿宋_GB2312" w:hAnsi="仿宋" w:eastAsia="仿宋_GB2312" w:cs="宋体"/>
          <w:bCs/>
          <w:color w:val="000000"/>
          <w:spacing w:val="-15"/>
          <w:kern w:val="0"/>
          <w:sz w:val="24"/>
        </w:rPr>
        <w:t>北五路185号</w:t>
      </w:r>
      <w:r>
        <w:rPr>
          <w:rFonts w:ascii="仿宋_GB2312" w:hAnsi="仿宋" w:eastAsia="仿宋_GB2312" w:cs="宋体"/>
          <w:bCs/>
          <w:color w:val="000000"/>
          <w:kern w:val="0"/>
          <w:sz w:val="24"/>
        </w:rPr>
        <w:t xml:space="preserve">    </w:t>
      </w:r>
      <w:r>
        <w:rPr>
          <w:rFonts w:hint="eastAsia" w:ascii="仿宋_GB2312" w:hAnsi="仿宋" w:eastAsia="仿宋_GB2312" w:cs="宋体"/>
          <w:bCs/>
          <w:color w:val="000000"/>
          <w:kern w:val="0"/>
          <w:sz w:val="24"/>
        </w:rPr>
        <w:t>邮政编码：832000</w:t>
      </w:r>
    </w:p>
    <w:p>
      <w:pPr>
        <w:pStyle w:val="7"/>
        <w:snapToGrid w:val="0"/>
        <w:spacing w:before="0" w:beforeAutospacing="0" w:after="0" w:afterAutospacing="0" w:line="360" w:lineRule="exact"/>
        <w:ind w:firstLine="480" w:firstLineChars="200"/>
        <w:rPr>
          <w:rFonts w:ascii="仿宋" w:hAnsi="仿宋" w:eastAsia="仿宋" w:cs="仿宋"/>
          <w:color w:val="000000" w:themeColor="text1"/>
          <w14:textFill>
            <w14:solidFill>
              <w14:schemeClr w14:val="tx1"/>
            </w14:solidFill>
          </w14:textFill>
        </w:rPr>
      </w:pPr>
    </w:p>
    <w:p>
      <w:pPr>
        <w:pStyle w:val="7"/>
        <w:snapToGrid w:val="0"/>
        <w:spacing w:before="0" w:beforeAutospacing="0" w:after="0" w:afterAutospacing="0" w:line="360" w:lineRule="exact"/>
        <w:ind w:firstLine="480" w:firstLineChars="200"/>
        <w:rPr>
          <w:rFonts w:ascii="仿宋" w:hAnsi="仿宋" w:eastAsia="仿宋" w:cs="仿宋"/>
          <w:color w:val="000000" w:themeColor="text1"/>
          <w14:textFill>
            <w14:solidFill>
              <w14:schemeClr w14:val="tx1"/>
            </w14:solidFill>
          </w14:textFill>
        </w:rPr>
      </w:pPr>
    </w:p>
    <w:p>
      <w:pPr>
        <w:pStyle w:val="7"/>
        <w:snapToGrid w:val="0"/>
        <w:spacing w:before="0" w:beforeAutospacing="0" w:after="0" w:afterAutospacing="0" w:line="360" w:lineRule="exact"/>
        <w:ind w:firstLine="480" w:firstLineChars="200"/>
        <w:rPr>
          <w:rFonts w:ascii="仿宋" w:hAnsi="仿宋" w:eastAsia="仿宋" w:cs="仿宋"/>
          <w:color w:val="000000" w:themeColor="text1"/>
          <w14:textFill>
            <w14:solidFill>
              <w14:schemeClr w14:val="tx1"/>
            </w14:solidFill>
          </w14:textFill>
        </w:rPr>
      </w:pPr>
    </w:p>
    <w:p>
      <w:pPr>
        <w:pStyle w:val="7"/>
        <w:snapToGrid w:val="0"/>
        <w:spacing w:before="0" w:beforeAutospacing="0" w:after="0" w:afterAutospacing="0" w:line="360" w:lineRule="exact"/>
        <w:ind w:firstLine="480" w:firstLineChars="200"/>
        <w:rPr>
          <w:rFonts w:ascii="仿宋" w:hAnsi="仿宋" w:eastAsia="仿宋" w:cs="仿宋"/>
          <w:color w:val="000000" w:themeColor="text1"/>
          <w14:textFill>
            <w14:solidFill>
              <w14:schemeClr w14:val="tx1"/>
            </w14:solidFill>
          </w14:textFill>
        </w:rPr>
      </w:pPr>
    </w:p>
    <w:p>
      <w:pPr>
        <w:pStyle w:val="7"/>
        <w:snapToGrid w:val="0"/>
        <w:spacing w:before="0" w:beforeAutospacing="0" w:after="0" w:afterAutospacing="0" w:line="360" w:lineRule="exact"/>
        <w:ind w:firstLine="480" w:firstLineChars="200"/>
        <w:rPr>
          <w:rFonts w:ascii="仿宋" w:hAnsi="仿宋" w:eastAsia="仿宋" w:cs="仿宋"/>
          <w:color w:val="000000" w:themeColor="text1"/>
          <w14:textFill>
            <w14:solidFill>
              <w14:schemeClr w14:val="tx1"/>
            </w14:solidFill>
          </w14:textFill>
        </w:rPr>
      </w:pPr>
    </w:p>
    <w:p>
      <w:pPr>
        <w:pStyle w:val="7"/>
        <w:snapToGrid w:val="0"/>
        <w:spacing w:before="0" w:beforeAutospacing="0" w:after="0" w:afterAutospacing="0" w:line="360" w:lineRule="exact"/>
        <w:ind w:firstLine="480" w:firstLineChars="200"/>
        <w:rPr>
          <w:rFonts w:ascii="仿宋" w:hAnsi="仿宋" w:eastAsia="仿宋" w:cs="仿宋"/>
          <w:color w:val="000000" w:themeColor="text1"/>
          <w14:textFill>
            <w14:solidFill>
              <w14:schemeClr w14:val="tx1"/>
            </w14:solidFill>
          </w14:textFill>
        </w:rPr>
      </w:pPr>
    </w:p>
    <w:p>
      <w:pPr>
        <w:pStyle w:val="7"/>
        <w:snapToGrid w:val="0"/>
        <w:spacing w:before="0" w:beforeAutospacing="0" w:after="0" w:afterAutospacing="0" w:line="360" w:lineRule="exact"/>
        <w:ind w:firstLine="480" w:firstLineChars="200"/>
        <w:rPr>
          <w:rFonts w:ascii="仿宋" w:hAnsi="仿宋" w:eastAsia="仿宋" w:cs="仿宋"/>
          <w:color w:val="000000" w:themeColor="text1"/>
          <w14:textFill>
            <w14:solidFill>
              <w14:schemeClr w14:val="tx1"/>
            </w14:solidFill>
          </w14:textFill>
        </w:rPr>
      </w:pPr>
    </w:p>
    <w:p>
      <w:pPr>
        <w:pStyle w:val="7"/>
        <w:snapToGrid w:val="0"/>
        <w:spacing w:before="0" w:beforeAutospacing="0" w:after="0" w:afterAutospacing="0" w:line="360" w:lineRule="exact"/>
        <w:jc w:val="center"/>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2022年直升高职（专科）工作日程安排表</w:t>
      </w:r>
    </w:p>
    <w:tbl>
      <w:tblPr>
        <w:tblStyle w:val="8"/>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0"/>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410" w:type="dxa"/>
            <w:shd w:val="clear" w:color="auto" w:fill="auto"/>
            <w:vAlign w:val="center"/>
          </w:tcPr>
          <w:p>
            <w:pPr>
              <w:spacing w:line="360" w:lineRule="exact"/>
              <w:jc w:val="center"/>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时间</w:t>
            </w:r>
          </w:p>
        </w:tc>
        <w:tc>
          <w:tcPr>
            <w:tcW w:w="6379" w:type="dxa"/>
            <w:shd w:val="clear" w:color="auto" w:fill="auto"/>
            <w:vAlign w:val="center"/>
          </w:tcPr>
          <w:p>
            <w:pPr>
              <w:spacing w:line="360" w:lineRule="exact"/>
              <w:jc w:val="center"/>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410" w:type="dxa"/>
            <w:shd w:val="clear" w:color="auto" w:fill="auto"/>
            <w:vAlign w:val="center"/>
          </w:tcPr>
          <w:p>
            <w:pPr>
              <w:spacing w:line="360" w:lineRule="exact"/>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4月1日- 4月6日</w:t>
            </w:r>
          </w:p>
        </w:tc>
        <w:tc>
          <w:tcPr>
            <w:tcW w:w="6379" w:type="dxa"/>
            <w:shd w:val="clear" w:color="auto" w:fill="auto"/>
            <w:vAlign w:val="center"/>
          </w:tcPr>
          <w:p>
            <w:pPr>
              <w:spacing w:line="360" w:lineRule="exact"/>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中职学校组织推优工作，公示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410" w:type="dxa"/>
            <w:shd w:val="clear" w:color="auto" w:fill="auto"/>
            <w:vAlign w:val="center"/>
          </w:tcPr>
          <w:p>
            <w:pPr>
              <w:spacing w:line="360" w:lineRule="exact"/>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4月7日18时前</w:t>
            </w:r>
          </w:p>
        </w:tc>
        <w:tc>
          <w:tcPr>
            <w:tcW w:w="6379" w:type="dxa"/>
            <w:shd w:val="clear" w:color="auto" w:fill="auto"/>
            <w:vAlign w:val="center"/>
          </w:tcPr>
          <w:p>
            <w:pPr>
              <w:spacing w:line="360" w:lineRule="exact"/>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各中职学校将报名材料、公示情况等相关材料上报至我院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410" w:type="dxa"/>
            <w:shd w:val="clear" w:color="auto" w:fill="auto"/>
            <w:vAlign w:val="center"/>
          </w:tcPr>
          <w:p>
            <w:pPr>
              <w:spacing w:line="360" w:lineRule="exact"/>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4月10日</w:t>
            </w:r>
          </w:p>
        </w:tc>
        <w:tc>
          <w:tcPr>
            <w:tcW w:w="6379" w:type="dxa"/>
            <w:shd w:val="clear" w:color="auto" w:fill="auto"/>
            <w:vAlign w:val="center"/>
          </w:tcPr>
          <w:p>
            <w:pPr>
              <w:spacing w:line="360" w:lineRule="exact"/>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报名学生上网查询面试考场及时间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410" w:type="dxa"/>
            <w:shd w:val="clear" w:color="auto" w:fill="auto"/>
            <w:vAlign w:val="center"/>
          </w:tcPr>
          <w:p>
            <w:pPr>
              <w:spacing w:line="360" w:lineRule="exact"/>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4月11日-4月12日</w:t>
            </w:r>
          </w:p>
        </w:tc>
        <w:tc>
          <w:tcPr>
            <w:tcW w:w="6379" w:type="dxa"/>
            <w:shd w:val="clear" w:color="auto" w:fill="auto"/>
            <w:vAlign w:val="center"/>
          </w:tcPr>
          <w:p>
            <w:pPr>
              <w:spacing w:line="360" w:lineRule="exact"/>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线上面试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410" w:type="dxa"/>
            <w:shd w:val="clear" w:color="auto" w:fill="auto"/>
            <w:vAlign w:val="center"/>
          </w:tcPr>
          <w:p>
            <w:pPr>
              <w:spacing w:line="360" w:lineRule="exact"/>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4月13日-4月15日</w:t>
            </w:r>
          </w:p>
        </w:tc>
        <w:tc>
          <w:tcPr>
            <w:tcW w:w="6379" w:type="dxa"/>
            <w:shd w:val="clear" w:color="auto" w:fill="auto"/>
            <w:vAlign w:val="center"/>
          </w:tcPr>
          <w:p>
            <w:pPr>
              <w:spacing w:line="360" w:lineRule="exact"/>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招生院校依据招生章程进行录取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410" w:type="dxa"/>
            <w:shd w:val="clear" w:color="auto" w:fill="auto"/>
            <w:vAlign w:val="center"/>
          </w:tcPr>
          <w:p>
            <w:pPr>
              <w:spacing w:line="360" w:lineRule="exact"/>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4月16日-4月21日</w:t>
            </w:r>
          </w:p>
        </w:tc>
        <w:tc>
          <w:tcPr>
            <w:tcW w:w="6379" w:type="dxa"/>
            <w:shd w:val="clear" w:color="auto" w:fill="auto"/>
            <w:vAlign w:val="center"/>
          </w:tcPr>
          <w:p>
            <w:pPr>
              <w:spacing w:line="360" w:lineRule="exact"/>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kern w:val="0"/>
                <w:sz w:val="24"/>
                <w:szCs w:val="24"/>
              </w:rPr>
              <w:t>公示</w:t>
            </w:r>
            <w:r>
              <w:rPr>
                <w:rFonts w:hint="eastAsia" w:ascii="仿宋" w:hAnsi="仿宋" w:eastAsia="仿宋" w:cs="仿宋"/>
                <w:kern w:val="0"/>
                <w:sz w:val="24"/>
                <w:szCs w:val="24"/>
                <w:lang w:val="zh-CN"/>
              </w:rPr>
              <w:t>拟入选考生名单及入选专业等相关信息</w:t>
            </w:r>
          </w:p>
        </w:tc>
      </w:tr>
    </w:tbl>
    <w:p>
      <w:pPr>
        <w:pStyle w:val="7"/>
        <w:shd w:val="clear" w:color="auto" w:fill="FFFFFF"/>
        <w:tabs>
          <w:tab w:val="left" w:pos="2415"/>
        </w:tabs>
        <w:spacing w:before="0" w:beforeAutospacing="0" w:after="0" w:afterAutospacing="0" w:line="360" w:lineRule="exact"/>
        <w:rPr>
          <w:rFonts w:ascii="仿宋" w:hAnsi="仿宋" w:eastAsia="仿宋" w:cs="仿宋"/>
          <w:color w:val="000000" w:themeColor="text1"/>
          <w14:textFill>
            <w14:solidFill>
              <w14:schemeClr w14:val="tx1"/>
            </w14:solidFill>
          </w14:textFill>
        </w:rPr>
      </w:pPr>
    </w:p>
    <w:p>
      <w:pPr>
        <w:spacing w:line="360" w:lineRule="exact"/>
        <w:ind w:firstLine="480" w:firstLineChars="200"/>
        <w:jc w:val="left"/>
        <w:rPr>
          <w:rFonts w:ascii="仿宋" w:hAnsi="仿宋" w:eastAsia="仿宋" w:cs="仿宋"/>
          <w:color w:val="000000" w:themeColor="text1"/>
          <w:sz w:val="24"/>
          <w:szCs w:val="24"/>
          <w14:textFill>
            <w14:solidFill>
              <w14:schemeClr w14:val="tx1"/>
            </w14:solidFill>
          </w14:textFill>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EAC"/>
    <w:rsid w:val="00004E77"/>
    <w:rsid w:val="00037B6A"/>
    <w:rsid w:val="00043808"/>
    <w:rsid w:val="00051A83"/>
    <w:rsid w:val="000738E3"/>
    <w:rsid w:val="00080EF3"/>
    <w:rsid w:val="00083386"/>
    <w:rsid w:val="000A5271"/>
    <w:rsid w:val="000B0BDE"/>
    <w:rsid w:val="000D2834"/>
    <w:rsid w:val="000E1F7B"/>
    <w:rsid w:val="000F64CB"/>
    <w:rsid w:val="00102013"/>
    <w:rsid w:val="00114A8E"/>
    <w:rsid w:val="00116CB8"/>
    <w:rsid w:val="00140008"/>
    <w:rsid w:val="00183CBD"/>
    <w:rsid w:val="001A2A74"/>
    <w:rsid w:val="001B2570"/>
    <w:rsid w:val="001D6258"/>
    <w:rsid w:val="001E6566"/>
    <w:rsid w:val="001F2504"/>
    <w:rsid w:val="002110D3"/>
    <w:rsid w:val="00226B3A"/>
    <w:rsid w:val="0023283A"/>
    <w:rsid w:val="0023525B"/>
    <w:rsid w:val="0025472E"/>
    <w:rsid w:val="00266677"/>
    <w:rsid w:val="002859D7"/>
    <w:rsid w:val="002C39C1"/>
    <w:rsid w:val="00307B45"/>
    <w:rsid w:val="00310F30"/>
    <w:rsid w:val="00326FFD"/>
    <w:rsid w:val="0034070F"/>
    <w:rsid w:val="003474B4"/>
    <w:rsid w:val="0035042D"/>
    <w:rsid w:val="003644F6"/>
    <w:rsid w:val="00366263"/>
    <w:rsid w:val="00375BC3"/>
    <w:rsid w:val="003760D4"/>
    <w:rsid w:val="003857C7"/>
    <w:rsid w:val="003C7F40"/>
    <w:rsid w:val="003E21E2"/>
    <w:rsid w:val="003E4191"/>
    <w:rsid w:val="003E5674"/>
    <w:rsid w:val="004134B2"/>
    <w:rsid w:val="00431652"/>
    <w:rsid w:val="00466873"/>
    <w:rsid w:val="004D509F"/>
    <w:rsid w:val="004D55CA"/>
    <w:rsid w:val="004E1186"/>
    <w:rsid w:val="004E5E62"/>
    <w:rsid w:val="004E6D50"/>
    <w:rsid w:val="00521B78"/>
    <w:rsid w:val="00551EEF"/>
    <w:rsid w:val="00553846"/>
    <w:rsid w:val="00573BD9"/>
    <w:rsid w:val="005819E9"/>
    <w:rsid w:val="005863CD"/>
    <w:rsid w:val="005A1D4A"/>
    <w:rsid w:val="005B1544"/>
    <w:rsid w:val="005B1CF0"/>
    <w:rsid w:val="005B3496"/>
    <w:rsid w:val="005D3ADC"/>
    <w:rsid w:val="00625D6B"/>
    <w:rsid w:val="0063441F"/>
    <w:rsid w:val="00644354"/>
    <w:rsid w:val="00662659"/>
    <w:rsid w:val="0066343F"/>
    <w:rsid w:val="00672617"/>
    <w:rsid w:val="00674C08"/>
    <w:rsid w:val="00676AFA"/>
    <w:rsid w:val="00680393"/>
    <w:rsid w:val="006A3A26"/>
    <w:rsid w:val="006B5253"/>
    <w:rsid w:val="006D6E02"/>
    <w:rsid w:val="00700D5F"/>
    <w:rsid w:val="007105D2"/>
    <w:rsid w:val="00715158"/>
    <w:rsid w:val="0073178E"/>
    <w:rsid w:val="007458AC"/>
    <w:rsid w:val="0076170F"/>
    <w:rsid w:val="00762B5D"/>
    <w:rsid w:val="007A5FE4"/>
    <w:rsid w:val="007C0A27"/>
    <w:rsid w:val="007F27CA"/>
    <w:rsid w:val="00830AAF"/>
    <w:rsid w:val="0083186A"/>
    <w:rsid w:val="00844D55"/>
    <w:rsid w:val="00845C88"/>
    <w:rsid w:val="008D2E43"/>
    <w:rsid w:val="009155EC"/>
    <w:rsid w:val="009178A9"/>
    <w:rsid w:val="00927216"/>
    <w:rsid w:val="0094589D"/>
    <w:rsid w:val="0094699A"/>
    <w:rsid w:val="009515E8"/>
    <w:rsid w:val="009A0EAC"/>
    <w:rsid w:val="009D44AA"/>
    <w:rsid w:val="009F1551"/>
    <w:rsid w:val="00A03DBD"/>
    <w:rsid w:val="00A103D6"/>
    <w:rsid w:val="00A46B85"/>
    <w:rsid w:val="00A52EB2"/>
    <w:rsid w:val="00A567A4"/>
    <w:rsid w:val="00A72089"/>
    <w:rsid w:val="00A74C81"/>
    <w:rsid w:val="00AF6F34"/>
    <w:rsid w:val="00AF7060"/>
    <w:rsid w:val="00B26D46"/>
    <w:rsid w:val="00B40FAC"/>
    <w:rsid w:val="00B56326"/>
    <w:rsid w:val="00B73D43"/>
    <w:rsid w:val="00B8177B"/>
    <w:rsid w:val="00BB048E"/>
    <w:rsid w:val="00BC5FF7"/>
    <w:rsid w:val="00BE6477"/>
    <w:rsid w:val="00C02F63"/>
    <w:rsid w:val="00C11E96"/>
    <w:rsid w:val="00C319FD"/>
    <w:rsid w:val="00C31BF1"/>
    <w:rsid w:val="00C358FA"/>
    <w:rsid w:val="00C6722D"/>
    <w:rsid w:val="00C824E6"/>
    <w:rsid w:val="00C866F1"/>
    <w:rsid w:val="00C92E82"/>
    <w:rsid w:val="00CA46EF"/>
    <w:rsid w:val="00CC7590"/>
    <w:rsid w:val="00CF0556"/>
    <w:rsid w:val="00D0174D"/>
    <w:rsid w:val="00D06F04"/>
    <w:rsid w:val="00D14DB1"/>
    <w:rsid w:val="00D17B32"/>
    <w:rsid w:val="00D24741"/>
    <w:rsid w:val="00D26D3B"/>
    <w:rsid w:val="00D27402"/>
    <w:rsid w:val="00D47564"/>
    <w:rsid w:val="00D720A0"/>
    <w:rsid w:val="00D80ABC"/>
    <w:rsid w:val="00D8280F"/>
    <w:rsid w:val="00D85F2A"/>
    <w:rsid w:val="00DA2B25"/>
    <w:rsid w:val="00DA6E2C"/>
    <w:rsid w:val="00DF5800"/>
    <w:rsid w:val="00E35F4C"/>
    <w:rsid w:val="00E55A9D"/>
    <w:rsid w:val="00E6181A"/>
    <w:rsid w:val="00EB285D"/>
    <w:rsid w:val="00ED2B95"/>
    <w:rsid w:val="00EF1B4C"/>
    <w:rsid w:val="00EF20BA"/>
    <w:rsid w:val="00EF6A79"/>
    <w:rsid w:val="00F0488B"/>
    <w:rsid w:val="00F134E0"/>
    <w:rsid w:val="00F246AF"/>
    <w:rsid w:val="00F32569"/>
    <w:rsid w:val="00F33B48"/>
    <w:rsid w:val="00F35607"/>
    <w:rsid w:val="00F5453E"/>
    <w:rsid w:val="00F96697"/>
    <w:rsid w:val="00FA0660"/>
    <w:rsid w:val="00FA0CDA"/>
    <w:rsid w:val="00FA232F"/>
    <w:rsid w:val="00FA2AC3"/>
    <w:rsid w:val="00FB31E2"/>
    <w:rsid w:val="00FB74E9"/>
    <w:rsid w:val="00FD1825"/>
    <w:rsid w:val="00FD1A51"/>
    <w:rsid w:val="00FD5898"/>
    <w:rsid w:val="01B80427"/>
    <w:rsid w:val="037441D2"/>
    <w:rsid w:val="055544A1"/>
    <w:rsid w:val="076017A0"/>
    <w:rsid w:val="07F50618"/>
    <w:rsid w:val="0AE90612"/>
    <w:rsid w:val="12163E0F"/>
    <w:rsid w:val="15F06D69"/>
    <w:rsid w:val="16B73E74"/>
    <w:rsid w:val="16F87BA2"/>
    <w:rsid w:val="1AE37C85"/>
    <w:rsid w:val="1BB10EA0"/>
    <w:rsid w:val="1E741430"/>
    <w:rsid w:val="220B2E84"/>
    <w:rsid w:val="26D23237"/>
    <w:rsid w:val="27FE55CA"/>
    <w:rsid w:val="2A1F2BB6"/>
    <w:rsid w:val="365B309D"/>
    <w:rsid w:val="3A373D52"/>
    <w:rsid w:val="3C980799"/>
    <w:rsid w:val="4C0963A7"/>
    <w:rsid w:val="512519C0"/>
    <w:rsid w:val="51770C0E"/>
    <w:rsid w:val="53612F5B"/>
    <w:rsid w:val="5B5222CC"/>
    <w:rsid w:val="65EC1217"/>
    <w:rsid w:val="684756A0"/>
    <w:rsid w:val="6D3A20B5"/>
    <w:rsid w:val="6E9F74A6"/>
    <w:rsid w:val="766C06F1"/>
    <w:rsid w:val="76EF4BE0"/>
    <w:rsid w:val="77FA3682"/>
    <w:rsid w:val="7F043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HTML Address"/>
    <w:basedOn w:val="1"/>
    <w:link w:val="19"/>
    <w:qFormat/>
    <w:uiPriority w:val="0"/>
    <w:rPr>
      <w:i/>
      <w:iCs/>
    </w:rPr>
  </w:style>
  <w:style w:type="paragraph" w:styleId="4">
    <w:name w:val="Balloon Text"/>
    <w:basedOn w:val="1"/>
    <w:link w:val="13"/>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qFormat/>
    <w:uiPriority w:val="22"/>
    <w:rPr>
      <w:b/>
      <w:bCs/>
    </w:rPr>
  </w:style>
  <w:style w:type="character" w:styleId="11">
    <w:name w:val="Hyperlink"/>
    <w:basedOn w:val="9"/>
    <w:unhideWhenUsed/>
    <w:qFormat/>
    <w:uiPriority w:val="99"/>
    <w:rPr>
      <w:color w:val="0000FF" w:themeColor="hyperlink"/>
      <w:u w:val="single"/>
      <w14:textFill>
        <w14:solidFill>
          <w14:schemeClr w14:val="hlink"/>
        </w14:solidFill>
      </w14:textFill>
    </w:rPr>
  </w:style>
  <w:style w:type="character" w:customStyle="1" w:styleId="12">
    <w:name w:val="apple-converted-space"/>
    <w:basedOn w:val="9"/>
    <w:qFormat/>
    <w:uiPriority w:val="0"/>
  </w:style>
  <w:style w:type="character" w:customStyle="1" w:styleId="13">
    <w:name w:val="批注框文本 Char"/>
    <w:basedOn w:val="9"/>
    <w:link w:val="4"/>
    <w:semiHidden/>
    <w:qFormat/>
    <w:uiPriority w:val="99"/>
    <w:rPr>
      <w:sz w:val="18"/>
      <w:szCs w:val="18"/>
    </w:rPr>
  </w:style>
  <w:style w:type="character" w:customStyle="1" w:styleId="14">
    <w:name w:val="标题 1 Char"/>
    <w:basedOn w:val="9"/>
    <w:link w:val="2"/>
    <w:qFormat/>
    <w:uiPriority w:val="9"/>
    <w:rPr>
      <w:rFonts w:ascii="宋体" w:hAnsi="宋体" w:eastAsia="宋体" w:cs="宋体"/>
      <w:b/>
      <w:bCs/>
      <w:kern w:val="36"/>
      <w:sz w:val="48"/>
      <w:szCs w:val="48"/>
    </w:rPr>
  </w:style>
  <w:style w:type="paragraph" w:customStyle="1" w:styleId="15">
    <w:name w:val="Char"/>
    <w:basedOn w:val="1"/>
    <w:qFormat/>
    <w:uiPriority w:val="0"/>
    <w:rPr>
      <w:rFonts w:ascii="Times New Roman" w:hAnsi="Times New Roman" w:eastAsia="宋体" w:cs="Times New Roman"/>
      <w:szCs w:val="24"/>
    </w:rPr>
  </w:style>
  <w:style w:type="character" w:customStyle="1" w:styleId="16">
    <w:name w:val="页眉 Char"/>
    <w:basedOn w:val="9"/>
    <w:link w:val="6"/>
    <w:qFormat/>
    <w:uiPriority w:val="99"/>
    <w:rPr>
      <w:sz w:val="18"/>
      <w:szCs w:val="18"/>
    </w:rPr>
  </w:style>
  <w:style w:type="character" w:customStyle="1" w:styleId="17">
    <w:name w:val="页脚 Char"/>
    <w:basedOn w:val="9"/>
    <w:link w:val="5"/>
    <w:qFormat/>
    <w:uiPriority w:val="99"/>
    <w:rPr>
      <w:sz w:val="18"/>
      <w:szCs w:val="18"/>
    </w:rPr>
  </w:style>
  <w:style w:type="paragraph" w:customStyle="1" w:styleId="18">
    <w:name w:val="Char1"/>
    <w:basedOn w:val="1"/>
    <w:qFormat/>
    <w:uiPriority w:val="0"/>
    <w:rPr>
      <w:rFonts w:ascii="Times New Roman" w:hAnsi="Times New Roman" w:eastAsia="宋体" w:cs="Times New Roman"/>
      <w:szCs w:val="24"/>
    </w:rPr>
  </w:style>
  <w:style w:type="character" w:customStyle="1" w:styleId="19">
    <w:name w:val="HTML 地址 Char"/>
    <w:basedOn w:val="9"/>
    <w:link w:val="3"/>
    <w:uiPriority w:val="0"/>
    <w:rPr>
      <w:rFonts w:asciiTheme="minorHAnsi" w:hAnsiTheme="minorHAnsi" w:eastAsiaTheme="minorEastAsia" w:cstheme="minorBidi"/>
      <w:i/>
      <w:iCs/>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807</Words>
  <Characters>4603</Characters>
  <Lines>38</Lines>
  <Paragraphs>10</Paragraphs>
  <TotalTime>128</TotalTime>
  <ScaleCrop>false</ScaleCrop>
  <LinksUpToDate>false</LinksUpToDate>
  <CharactersWithSpaces>5400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2022-03-21T03:59:00Z</dcterms:created>
  <dc:creator>Administrator</dc:creator>
  <cp:lastModifiedBy>user</cp:lastModifiedBy>
  <cp:lastPrinted>2021-04-04T07:29:00Z</cp:lastPrinted>
  <dcterms:modified xsi:type="dcterms:W3CDTF">2022-04-02T04:55:15Z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EF7B8869EF39498DADAFEECD168E1F88</vt:lpwstr>
  </property>
</Properties>
</file>